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slo3top-section"/>
        <w:tblW w:w="0" w:type="auto"/>
        <w:tblCellSpacing w:w="0" w:type="dxa"/>
        <w:tblLayout w:type="fixed"/>
        <w:tblCellMar>
          <w:top w:w="0" w:type="dxa"/>
          <w:left w:w="0" w:type="dxa"/>
          <w:bottom w:w="400" w:type="dxa"/>
          <w:right w:w="0" w:type="dxa"/>
        </w:tblCellMar>
        <w:tblLook w:val="05E0"/>
      </w:tblPr>
      <w:tblGrid>
        <w:gridCol w:w="11320"/>
      </w:tblGrid>
      <w:tr>
        <w:tblPrEx>
          <w:tblW w:w="0" w:type="auto"/>
          <w:tblCellSpacing w:w="0" w:type="dxa"/>
          <w:tblLayout w:type="fixed"/>
          <w:tblCellMar>
            <w:top w:w="0" w:type="dxa"/>
            <w:left w:w="0" w:type="dxa"/>
            <w:bottom w:w="400" w:type="dxa"/>
            <w:right w:w="0" w:type="dxa"/>
          </w:tblCellMar>
          <w:tblLook w:val="05E0"/>
        </w:tblPrEx>
        <w:trPr>
          <w:tblCellSpacing w:w="0" w:type="dxa"/>
        </w:trPr>
        <w:tc>
          <w:tcPr>
            <w:tcW w:w="11320" w:type="dxa"/>
            <w:tcMar>
              <w:top w:w="0" w:type="dxa"/>
              <w:left w:w="0" w:type="dxa"/>
              <w:bottom w:w="400" w:type="dxa"/>
              <w:right w:w="0" w:type="dxa"/>
            </w:tcMar>
            <w:vAlign w:val="top"/>
            <w:hideMark/>
          </w:tcPr>
          <w:p>
            <w:pPr>
              <w:pStyle w:val="skn-slo3txt-caps"/>
              <w:pBdr>
                <w:top w:val="none" w:sz="0" w:space="0" w:color="auto"/>
                <w:left w:val="none" w:sz="0" w:space="0" w:color="auto"/>
                <w:bottom w:val="none" w:sz="0" w:space="0" w:color="auto"/>
                <w:right w:val="none" w:sz="0" w:space="0" w:color="auto"/>
              </w:pBdr>
              <w:spacing w:before="0" w:after="0" w:line="640" w:lineRule="atLeast"/>
              <w:ind w:left="0" w:right="0"/>
              <w:rPr>
                <w:rStyle w:val="skn-slo3top-sectionright-box"/>
                <w:rFonts w:ascii="Open Sans" w:eastAsia="Open Sans" w:hAnsi="Open Sans" w:cs="Open Sans"/>
                <w:b/>
                <w:bCs/>
                <w:caps/>
                <w:color w:val="AA81D5"/>
                <w:sz w:val="48"/>
                <w:szCs w:val="48"/>
                <w:bdr w:val="none" w:sz="0" w:space="0" w:color="auto"/>
                <w:vertAlign w:val="baseline"/>
              </w:rPr>
            </w:pPr>
            <w:r>
              <w:rPr>
                <w:rStyle w:val="span"/>
                <w:rFonts w:ascii="Open Sans" w:eastAsia="Open Sans" w:hAnsi="Open Sans" w:cs="Open Sans"/>
                <w:b/>
                <w:bCs/>
                <w:caps/>
                <w:color w:val="AA81D5"/>
                <w:sz w:val="48"/>
                <w:szCs w:val="48"/>
              </w:rPr>
              <w:t>Ankit</w:t>
            </w:r>
            <w:r>
              <w:rPr>
                <w:rStyle w:val="skn-slo3top-sectionright-box"/>
                <w:rFonts w:ascii="Open Sans" w:eastAsia="Open Sans" w:hAnsi="Open Sans" w:cs="Open Sans"/>
                <w:b/>
                <w:bCs/>
                <w:caps/>
                <w:color w:val="AA81D5"/>
                <w:sz w:val="48"/>
                <w:szCs w:val="48"/>
                <w:bdr w:val="none" w:sz="0" w:space="0" w:color="auto"/>
                <w:vertAlign w:val="baseline"/>
              </w:rPr>
              <w:t xml:space="preserve"> </w:t>
            </w:r>
            <w:r>
              <w:rPr>
                <w:rStyle w:val="span"/>
                <w:rFonts w:ascii="Open Sans" w:eastAsia="Open Sans" w:hAnsi="Open Sans" w:cs="Open Sans"/>
                <w:b/>
                <w:bCs/>
                <w:caps/>
                <w:color w:val="AA81D5"/>
                <w:sz w:val="48"/>
                <w:szCs w:val="48"/>
              </w:rPr>
              <w:t>Verma</w:t>
            </w:r>
          </w:p>
          <w:p>
            <w:pPr>
              <w:pStyle w:val="skn-slo3txt-caps"/>
              <w:pBdr>
                <w:top w:val="none" w:sz="0" w:space="0" w:color="auto"/>
                <w:left w:val="none" w:sz="0" w:space="0" w:color="auto"/>
                <w:bottom w:val="none" w:sz="0" w:space="0" w:color="auto"/>
                <w:right w:val="none" w:sz="0" w:space="0" w:color="auto"/>
              </w:pBdr>
              <w:spacing w:before="0" w:after="0" w:line="380" w:lineRule="atLeast"/>
              <w:ind w:left="0" w:right="0"/>
              <w:rPr>
                <w:rStyle w:val="skn-slo3top-sectionright-box"/>
                <w:rFonts w:ascii="Open Sans" w:eastAsia="Open Sans" w:hAnsi="Open Sans" w:cs="Open Sans"/>
                <w:b/>
                <w:bCs/>
                <w:caps/>
                <w:color w:val="050505"/>
                <w:sz w:val="28"/>
                <w:szCs w:val="28"/>
                <w:bdr w:val="none" w:sz="0" w:space="0" w:color="auto"/>
                <w:vertAlign w:val="baseline"/>
              </w:rPr>
            </w:pPr>
            <w:r>
              <w:rPr>
                <w:rStyle w:val="span"/>
                <w:rFonts w:ascii="Open Sans" w:eastAsia="Open Sans" w:hAnsi="Open Sans" w:cs="Open Sans"/>
                <w:b/>
                <w:bCs/>
                <w:caps/>
                <w:color w:val="050505"/>
                <w:sz w:val="28"/>
                <w:szCs w:val="28"/>
              </w:rPr>
              <w:t>Surgical Nursing Assistant</w:t>
            </w:r>
          </w:p>
          <w:p>
            <w:pPr>
              <w:pBdr>
                <w:top w:val="none" w:sz="0" w:space="0" w:color="auto"/>
                <w:left w:val="none" w:sz="0" w:space="0" w:color="auto"/>
                <w:bottom w:val="none" w:sz="0" w:space="0" w:color="auto"/>
                <w:right w:val="none" w:sz="0" w:space="0" w:color="auto"/>
              </w:pBdr>
              <w:spacing w:after="0" w:line="60" w:lineRule="exac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 </w:t>
            </w:r>
            <w:r>
              <w:rPr>
                <w:rStyle w:val="skn-slo3top-sectionright-box"/>
                <w:rFonts w:ascii="Open Sans" w:eastAsia="Open Sans" w:hAnsi="Open Sans" w:cs="Open Sans"/>
                <w:color w:val="050505"/>
                <w:sz w:val="20"/>
                <w:szCs w:val="20"/>
                <w:bdr w:val="none" w:sz="0" w:space="0" w:color="auto"/>
                <w:vertAlign w:val="baseline"/>
              </w:rPr>
              <w:drawing>
                <wp:inline>
                  <wp:extent cx="7598560" cy="13318"/>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7598560" cy="13318"/>
                          </a:xfrm>
                          <a:prstGeom prst="rect">
                            <a:avLst/>
                          </a:prstGeom>
                        </pic:spPr>
                      </pic:pic>
                    </a:graphicData>
                  </a:graphic>
                </wp:inline>
              </w:drawing>
            </w:r>
          </w:p>
          <w:p>
            <w:pPr>
              <w:pBdr>
                <w:top w:val="none" w:sz="0" w:space="0" w:color="auto"/>
                <w:left w:val="none" w:sz="0" w:space="0" w:color="auto"/>
                <w:bottom w:val="none" w:sz="0" w:space="0" w:color="auto"/>
                <w:right w:val="none" w:sz="0" w:space="0" w:color="auto"/>
              </w:pBdr>
              <w:spacing w:line="400" w:lineRule="exac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+91</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98765</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43210</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xml:space="preserve"> </w:t>
            </w:r>
            <w:r>
              <w:rPr>
                <w:rStyle w:val="skn-slo3top-sectionright-box"/>
                <w:rFonts w:ascii="Open Sans" w:eastAsia="Open Sans" w:hAnsi="Open Sans" w:cs="Open Sans"/>
                <w:color w:val="050505"/>
                <w:sz w:val="20"/>
                <w:szCs w:val="20"/>
                <w:bdr w:val="none" w:sz="0" w:space="0" w:color="auto"/>
                <w:vertAlign w:val="baseline"/>
              </w:rPr>
              <w:t> </w:t>
            </w:r>
            <w:r>
              <w:rPr>
                <w:rStyle w:val="skn-slo3ulli"/>
                <w:rFonts w:ascii="Open Sans" w:eastAsia="Open Sans" w:hAnsi="Open Sans" w:cs="Open Sans"/>
                <w:color w:val="050505"/>
                <w:sz w:val="20"/>
                <w:szCs w:val="20"/>
              </w:rPr>
              <w:t> </w:t>
            </w:r>
            <w:r>
              <w:rPr>
                <w:rStyle w:val="skn-slo3ulli"/>
                <w:rFonts w:ascii="Open Sans" w:eastAsia="Open Sans" w:hAnsi="Open Sans" w:cs="Open Sans"/>
                <w:color w:val="050505"/>
                <w:sz w:val="20"/>
                <w:szCs w:val="20"/>
              </w:rPr>
              <w:drawing>
                <wp:anchor simplePos="0" relativeHeight="251658240" behindDoc="0" locked="0" layoutInCell="1" allowOverlap="1">
                  <wp:simplePos x="0" y="0"/>
                  <wp:positionH relativeFrom="character">
                    <wp:posOffset>0</wp:posOffset>
                  </wp:positionH>
                  <wp:positionV relativeFrom="line">
                    <wp:posOffset>120689</wp:posOffset>
                  </wp:positionV>
                  <wp:extent cx="64041" cy="102158"/>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64041" cy="102158"/>
                          </a:xfrm>
                          <a:prstGeom prst="rect">
                            <a:avLst/>
                          </a:prstGeom>
                        </pic:spPr>
                      </pic:pic>
                    </a:graphicData>
                  </a:graphic>
                </wp:anchor>
              </w:drawing>
            </w:r>
            <w:r>
              <w:rPr>
                <w:rStyle w:val="bluebullet"/>
                <w:color w:val="050505"/>
              </w:rPr>
              <w:t> </w:t>
            </w:r>
            <w:r>
              <w:rPr>
                <w:rStyle w:val="spacebeforebulletcntc"/>
                <w:color w:val="050505"/>
              </w:rPr>
              <w:t> </w:t>
            </w:r>
            <w:r>
              <w:rPr>
                <w:rStyle w:val="spacebeforebulletcntc"/>
                <w:color w:val="050505"/>
              </w:rPr>
              <w:t> </w:t>
            </w:r>
            <w:r>
              <w:rPr>
                <w:rStyle w:val="spacebeforebulletcntc"/>
                <w:color w:val="050505"/>
              </w:rPr>
              <w:t> </w:t>
            </w:r>
            <w:r>
              <w:rPr>
                <w:rStyle w:val="skn-slo3ulli"/>
                <w:rFonts w:ascii="Open Sans" w:eastAsia="Open Sans" w:hAnsi="Open Sans" w:cs="Open Sans"/>
                <w:color w:val="050505"/>
                <w:sz w:val="20"/>
                <w:szCs w:val="20"/>
              </w:rPr>
              <w:t> </w:t>
            </w:r>
            <w:r>
              <w:rPr>
                <w:rStyle w:val="span"/>
                <w:rFonts w:ascii="Open Sans" w:eastAsia="Open Sans" w:hAnsi="Open Sans" w:cs="Open Sans"/>
                <w:color w:val="050505"/>
                <w:sz w:val="20"/>
                <w:szCs w:val="20"/>
              </w:rPr>
              <w:t>ankit.verma@example.com</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xml:space="preserve"> </w:t>
            </w:r>
            <w:r>
              <w:rPr>
                <w:rStyle w:val="skn-slo3ulli"/>
                <w:rFonts w:ascii="Open Sans" w:eastAsia="Open Sans" w:hAnsi="Open Sans" w:cs="Open Sans"/>
                <w:color w:val="050505"/>
                <w:sz w:val="20"/>
                <w:szCs w:val="20"/>
              </w:rPr>
              <w:t> </w:t>
            </w:r>
            <w:r>
              <w:rPr>
                <w:rStyle w:val="skn-slo3ulli"/>
                <w:rFonts w:ascii="Open Sans" w:eastAsia="Open Sans" w:hAnsi="Open Sans" w:cs="Open Sans"/>
                <w:color w:val="050505"/>
                <w:sz w:val="20"/>
                <w:szCs w:val="20"/>
              </w:rPr>
              <w:t> </w:t>
            </w:r>
            <w:r>
              <w:rPr>
                <w:rStyle w:val="skn-slo3ulli"/>
                <w:rFonts w:ascii="Open Sans" w:eastAsia="Open Sans" w:hAnsi="Open Sans" w:cs="Open Sans"/>
                <w:color w:val="050505"/>
                <w:sz w:val="20"/>
                <w:szCs w:val="20"/>
              </w:rPr>
              <w:drawing>
                <wp:anchor simplePos="0" relativeHeight="251659264" behindDoc="0" locked="0" layoutInCell="1" allowOverlap="1">
                  <wp:simplePos x="0" y="0"/>
                  <wp:positionH relativeFrom="character">
                    <wp:posOffset>0</wp:posOffset>
                  </wp:positionH>
                  <wp:positionV relativeFrom="line">
                    <wp:posOffset>120689</wp:posOffset>
                  </wp:positionV>
                  <wp:extent cx="64041" cy="102158"/>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5"/>
                          <a:stretch>
                            <a:fillRect/>
                          </a:stretch>
                        </pic:blipFill>
                        <pic:spPr>
                          <a:xfrm>
                            <a:off x="0" y="0"/>
                            <a:ext cx="64041" cy="102158"/>
                          </a:xfrm>
                          <a:prstGeom prst="rect">
                            <a:avLst/>
                          </a:prstGeom>
                        </pic:spPr>
                      </pic:pic>
                    </a:graphicData>
                  </a:graphic>
                </wp:anchor>
              </w:drawing>
            </w:r>
            <w:r>
              <w:rPr>
                <w:rStyle w:val="bluebullet"/>
                <w:color w:val="050505"/>
              </w:rPr>
              <w:t> </w:t>
            </w:r>
            <w:r>
              <w:rPr>
                <w:rStyle w:val="spacebeforebulletcntc"/>
                <w:color w:val="050505"/>
              </w:rPr>
              <w:t> </w:t>
            </w:r>
            <w:r>
              <w:rPr>
                <w:rStyle w:val="spacebeforebulletcntc"/>
                <w:color w:val="050505"/>
              </w:rPr>
              <w:t> </w:t>
            </w:r>
            <w:r>
              <w:rPr>
                <w:rStyle w:val="spacebeforebulletcntc"/>
                <w:color w:val="050505"/>
              </w:rPr>
              <w:t> </w:t>
            </w:r>
            <w:r>
              <w:rPr>
                <w:rStyle w:val="skn-slo3ulli"/>
                <w:rFonts w:ascii="Open Sans" w:eastAsia="Open Sans" w:hAnsi="Open Sans" w:cs="Open Sans"/>
                <w:color w:val="050505"/>
                <w:sz w:val="20"/>
                <w:szCs w:val="20"/>
              </w:rPr>
              <w:t> </w:t>
            </w:r>
            <w:r>
              <w:rPr>
                <w:rStyle w:val="span"/>
                <w:rFonts w:ascii="Open Sans" w:eastAsia="Open Sans" w:hAnsi="Open Sans" w:cs="Open Sans"/>
                <w:color w:val="050505"/>
                <w:sz w:val="20"/>
                <w:szCs w:val="20"/>
              </w:rPr>
              <w:t>Bengaluru</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Karnataka</w:t>
            </w:r>
            <w:r>
              <w:rPr>
                <w:rStyle w:val="skn-slo3ulli"/>
                <w:rFonts w:ascii="Open Sans" w:eastAsia="Open Sans" w:hAnsi="Open Sans" w:cs="Open Sans"/>
                <w:color w:val="050505"/>
                <w:sz w:val="20"/>
                <w:szCs w:val="20"/>
              </w:rPr>
              <w:t> </w:t>
            </w:r>
            <w:r>
              <w:rPr>
                <w:rStyle w:val="span"/>
                <w:rFonts w:ascii="Open Sans" w:eastAsia="Open Sans" w:hAnsi="Open Sans" w:cs="Open Sans"/>
                <w:color w:val="050505"/>
                <w:sz w:val="20"/>
                <w:szCs w:val="20"/>
              </w:rPr>
              <w:t>560078</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xml:space="preserve"> </w:t>
            </w:r>
            <w:r>
              <w:rPr>
                <w:rStyle w:val="skn-slo3ulli"/>
                <w:rFonts w:ascii="Open Sans" w:eastAsia="Open Sans" w:hAnsi="Open Sans" w:cs="Open Sans"/>
                <w:color w:val="050505"/>
                <w:sz w:val="20"/>
                <w:szCs w:val="20"/>
              </w:rPr>
              <w:t> </w:t>
            </w:r>
            <w:r>
              <w:rPr>
                <w:rStyle w:val="skn-slo3ullinth-last-child1"/>
                <w:rFonts w:ascii="Open Sans" w:eastAsia="Open Sans" w:hAnsi="Open Sans" w:cs="Open Sans"/>
                <w:color w:val="050505"/>
                <w:sz w:val="20"/>
                <w:szCs w:val="20"/>
              </w:rPr>
              <w:t> </w:t>
            </w:r>
            <w:r>
              <w:rPr>
                <w:rStyle w:val="skn-slo3ullinth-last-child1"/>
                <w:rFonts w:ascii="Open Sans" w:eastAsia="Open Sans" w:hAnsi="Open Sans" w:cs="Open Sans"/>
                <w:color w:val="050505"/>
                <w:sz w:val="20"/>
                <w:szCs w:val="20"/>
              </w:rPr>
              <w:drawing>
                <wp:anchor simplePos="0" relativeHeight="251660288" behindDoc="0" locked="0" layoutInCell="1" allowOverlap="1">
                  <wp:simplePos x="0" y="0"/>
                  <wp:positionH relativeFrom="character">
                    <wp:posOffset>0</wp:posOffset>
                  </wp:positionH>
                  <wp:positionV relativeFrom="line">
                    <wp:posOffset>120689</wp:posOffset>
                  </wp:positionV>
                  <wp:extent cx="64041" cy="102158"/>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5"/>
                          <a:stretch>
                            <a:fillRect/>
                          </a:stretch>
                        </pic:blipFill>
                        <pic:spPr>
                          <a:xfrm>
                            <a:off x="0" y="0"/>
                            <a:ext cx="64041" cy="102158"/>
                          </a:xfrm>
                          <a:prstGeom prst="rect">
                            <a:avLst/>
                          </a:prstGeom>
                        </pic:spPr>
                      </pic:pic>
                    </a:graphicData>
                  </a:graphic>
                </wp:anchor>
              </w:drawing>
            </w:r>
            <w:r>
              <w:rPr>
                <w:rStyle w:val="bluebullet"/>
                <w:color w:val="050505"/>
              </w:rPr>
              <w:t> </w:t>
            </w:r>
            <w:r>
              <w:rPr>
                <w:rStyle w:val="spacebeforebulletcntc"/>
                <w:color w:val="050505"/>
              </w:rPr>
              <w:t> </w:t>
            </w:r>
            <w:r>
              <w:rPr>
                <w:rStyle w:val="spacebeforebulletcntc"/>
                <w:color w:val="050505"/>
              </w:rPr>
              <w:t> </w:t>
            </w:r>
            <w:r>
              <w:rPr>
                <w:rStyle w:val="spacebeforebulletcntc"/>
                <w:color w:val="050505"/>
              </w:rPr>
              <w:t> </w:t>
            </w:r>
            <w:r>
              <w:rPr>
                <w:rStyle w:val="skn-slo3ullinth-last-child1"/>
                <w:rFonts w:ascii="Open Sans" w:eastAsia="Open Sans" w:hAnsi="Open Sans" w:cs="Open Sans"/>
                <w:color w:val="050505"/>
                <w:sz w:val="20"/>
                <w:szCs w:val="20"/>
              </w:rPr>
              <w:t> </w:t>
            </w:r>
            <w:r>
              <w:rPr>
                <w:rStyle w:val="span"/>
                <w:rFonts w:ascii="Open Sans" w:eastAsia="Open Sans" w:hAnsi="Open Sans" w:cs="Open Sans"/>
                <w:color w:val="050505"/>
                <w:sz w:val="20"/>
                <w:szCs w:val="20"/>
              </w:rPr>
              <w:t>12</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July</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1994</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xml:space="preserve"> </w:t>
            </w:r>
            <w:r>
              <w:rPr>
                <w:rStyle w:val="skn-slo3ullinth-last-child1"/>
                <w:rFonts w:ascii="Open Sans" w:eastAsia="Open Sans" w:hAnsi="Open Sans" w:cs="Open Sans"/>
                <w:color w:val="050505"/>
                <w:sz w:val="20"/>
                <w:szCs w:val="20"/>
              </w:rPr>
              <w:t xml:space="preserve"> </w:t>
            </w:r>
          </w:p>
        </w:tc>
      </w:tr>
    </w:tbl>
    <w:p>
      <w:pPr>
        <w:pStyle w:val="skn-slo3section-title"/>
        <w:pBdr>
          <w:top w:val="none" w:sz="0" w:space="0" w:color="auto"/>
          <w:left w:val="none" w:sz="0" w:space="0" w:color="auto"/>
          <w:bottom w:val="none" w:sz="0" w:space="0" w:color="auto"/>
          <w:right w:val="none" w:sz="0" w:space="0" w:color="auto"/>
        </w:pBdr>
        <w:spacing w:before="0" w:after="200"/>
        <w:ind w:left="0" w:right="0"/>
        <w:rPr>
          <w:rFonts w:ascii="Open Sans" w:eastAsia="Open Sans" w:hAnsi="Open Sans" w:cs="Open Sans"/>
          <w:b/>
          <w:bCs/>
          <w:caps/>
          <w:color w:val="AA81D5"/>
          <w:bdr w:val="none" w:sz="0" w:space="0" w:color="auto"/>
          <w:vertAlign w:val="baseline"/>
        </w:rPr>
      </w:pPr>
      <w:r>
        <w:rPr>
          <w:rFonts w:ascii="Open Sans" w:eastAsia="Open Sans" w:hAnsi="Open Sans" w:cs="Open Sans"/>
          <w:b/>
          <w:bCs/>
          <w:caps/>
          <w:bdr w:val="none" w:sz="0" w:space="0" w:color="auto"/>
          <w:vertAlign w:val="baseline"/>
        </w:rPr>
        <w:t>Professional Summary</w:t>
      </w:r>
    </w:p>
    <w:p>
      <w:pPr>
        <w:pStyle w:val="p"/>
        <w:pBdr>
          <w:top w:val="none" w:sz="0" w:space="0" w:color="auto"/>
          <w:left w:val="none" w:sz="0" w:space="0" w:color="auto"/>
          <w:bottom w:val="none" w:sz="0" w:space="0" w:color="auto"/>
          <w:right w:val="none" w:sz="0" w:space="0" w:color="auto"/>
        </w:pBdr>
        <w:spacing w:before="0" w:after="0" w:line="30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Dedicated Surgical Nursing Assistant with experience in preoperative preparation, postoperative care, and surgical instrument handling. Skilled in maintaining sterile environments and monitoring vital signs, ready to support surgical teams with precision and care. Eager to contribute expertise in operation theatre assistance to enhance patient outcomes.</w:t>
      </w:r>
    </w:p>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AA81D5"/>
          <w:bdr w:val="none" w:sz="0" w:space="0" w:color="auto"/>
          <w:vertAlign w:val="baseline"/>
        </w:rPr>
      </w:pPr>
      <w:r>
        <w:rPr>
          <w:rFonts w:ascii="Open Sans" w:eastAsia="Open Sans" w:hAnsi="Open Sans" w:cs="Open Sans"/>
          <w:b/>
          <w:bCs/>
          <w:caps/>
          <w:bdr w:val="none" w:sz="0" w:space="0" w:color="auto"/>
          <w:vertAlign w:val="baseline"/>
        </w:rPr>
        <w:t>Skills</w:t>
      </w:r>
    </w:p>
    <w:tbl>
      <w:tblPr>
        <w:tblW w:w="10860" w:type="dxa"/>
        <w:jc w:val="left"/>
        <w:tblInd w:w="460" w:type="dxa"/>
        <w:tblCellMar>
          <w:left w:w="108" w:type="dxa"/>
          <w:right w:w="108" w:type="dxa"/>
        </w:tblCellMar>
      </w:tblPr>
      <w:tblGrid>
        <w:gridCol w:w="5045"/>
        <w:gridCol w:w="779"/>
        <w:gridCol w:w="5036"/>
      </w:tblGrid>
      <w:tr>
        <w:tblPrEx>
          <w:tblW w:w="10860" w:type="dxa"/>
          <w:jc w:val="left"/>
          <w:tblInd w:w="460" w:type="dxa"/>
          <w:tblCellMar>
            <w:left w:w="108" w:type="dxa"/>
            <w:right w:w="108" w:type="dxa"/>
          </w:tblCellMar>
        </w:tblPrEx>
        <w:trPr>
          <w:jc w:val="left"/>
        </w:trPr>
        <w:tc>
          <w:tcPr>
            <w:tcW w:w="5130" w:type="dxa"/>
            <w:tcMar>
              <w:left w:w="0" w:type="dxa"/>
            </w:tcMar>
          </w:tcPr>
          <w:p>
            <w:pPr>
              <w:pStyle w:val="p"/>
              <w:numPr>
                <w:ilvl w:val="0"/>
                <w:numId w:val="1"/>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Preoperative patient preparation</w:t>
            </w:r>
          </w:p>
        </w:tc>
        <w:tc>
          <w:tcPr>
            <w:tcW w:w="600" w:type="dxa"/>
            <w:tcMar>
              <w:bottom w:w="100" w:type="dxa"/>
            </w:tcMar>
          </w:tcPr>
          <w:p/>
        </w:tc>
        <w:tc>
          <w:tcPr>
            <w:tcW w:w="5130" w:type="dxa"/>
            <w:tcMar>
              <w:left w:w="0" w:type="dxa"/>
            </w:tcMar>
          </w:tcPr>
          <w:p>
            <w:pPr>
              <w:pStyle w:val="p"/>
              <w:numPr>
                <w:ilvl w:val="0"/>
                <w:numId w:val="2"/>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Postoperative patient care</w:t>
            </w:r>
          </w:p>
        </w:tc>
      </w:tr>
      <w:tr>
        <w:tblPrEx>
          <w:tblW w:w="10860" w:type="dxa"/>
          <w:jc w:val="left"/>
          <w:tblInd w:w="460" w:type="dxa"/>
          <w:tblCellMar>
            <w:left w:w="108" w:type="dxa"/>
            <w:right w:w="108" w:type="dxa"/>
          </w:tblCellMar>
        </w:tblPrEx>
        <w:trPr>
          <w:jc w:val="left"/>
        </w:trPr>
        <w:tc>
          <w:tcPr>
            <w:tcW w:w="5130" w:type="dxa"/>
            <w:tcMar>
              <w:left w:w="0" w:type="dxa"/>
            </w:tcMar>
          </w:tcPr>
          <w:p>
            <w:pPr>
              <w:pStyle w:val="p"/>
              <w:numPr>
                <w:ilvl w:val="0"/>
                <w:numId w:val="3"/>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Surgical instrument handling</w:t>
            </w:r>
          </w:p>
        </w:tc>
        <w:tc>
          <w:tcPr>
            <w:tcW w:w="600" w:type="dxa"/>
            <w:tcMar>
              <w:bottom w:w="100" w:type="dxa"/>
            </w:tcMar>
          </w:tcPr>
          <w:p/>
        </w:tc>
        <w:tc>
          <w:tcPr>
            <w:tcW w:w="5130" w:type="dxa"/>
            <w:tcMar>
              <w:left w:w="0" w:type="dxa"/>
            </w:tcMar>
          </w:tcPr>
          <w:p>
            <w:pPr>
              <w:pStyle w:val="p"/>
              <w:numPr>
                <w:ilvl w:val="0"/>
                <w:numId w:val="4"/>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Operation theatre assistance</w:t>
            </w:r>
          </w:p>
        </w:tc>
      </w:tr>
      <w:tr>
        <w:tblPrEx>
          <w:tblW w:w="10860" w:type="dxa"/>
          <w:jc w:val="left"/>
          <w:tblInd w:w="460" w:type="dxa"/>
          <w:tblCellMar>
            <w:left w:w="108" w:type="dxa"/>
            <w:right w:w="108" w:type="dxa"/>
          </w:tblCellMar>
        </w:tblPrEx>
        <w:trPr>
          <w:jc w:val="left"/>
        </w:trPr>
        <w:tc>
          <w:tcPr>
            <w:tcW w:w="5130" w:type="dxa"/>
            <w:tcMar>
              <w:left w:w="0" w:type="dxa"/>
            </w:tcMar>
          </w:tcPr>
          <w:p>
            <w:pPr>
              <w:pStyle w:val="p"/>
              <w:numPr>
                <w:ilvl w:val="0"/>
                <w:numId w:val="5"/>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Vital signs monitoring</w:t>
            </w:r>
          </w:p>
        </w:tc>
        <w:tc>
          <w:tcPr>
            <w:tcW w:w="600" w:type="dxa"/>
            <w:tcMar>
              <w:bottom w:w="100" w:type="dxa"/>
            </w:tcMar>
          </w:tcPr>
          <w:p/>
        </w:tc>
        <w:tc>
          <w:tcPr>
            <w:tcW w:w="5130" w:type="dxa"/>
            <w:tcMar>
              <w:left w:w="0" w:type="dxa"/>
            </w:tcMar>
          </w:tcPr>
          <w:p>
            <w:pPr>
              <w:pStyle w:val="p"/>
              <w:numPr>
                <w:ilvl w:val="0"/>
                <w:numId w:val="6"/>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Sterilization procedures</w:t>
            </w:r>
          </w:p>
        </w:tc>
      </w:tr>
      <w:tr>
        <w:tblPrEx>
          <w:tblW w:w="10860" w:type="dxa"/>
          <w:jc w:val="left"/>
          <w:tblInd w:w="460" w:type="dxa"/>
          <w:tblCellMar>
            <w:left w:w="108" w:type="dxa"/>
            <w:right w:w="108" w:type="dxa"/>
          </w:tblCellMar>
        </w:tblPrEx>
        <w:trPr>
          <w:jc w:val="left"/>
        </w:trPr>
        <w:tc>
          <w:tcPr>
            <w:tcW w:w="5130" w:type="dxa"/>
            <w:tcMar>
              <w:left w:w="0" w:type="dxa"/>
            </w:tcMar>
          </w:tcPr>
          <w:p>
            <w:pPr>
              <w:pStyle w:val="p"/>
              <w:numPr>
                <w:ilvl w:val="0"/>
                <w:numId w:val="7"/>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Infection control practices</w:t>
            </w:r>
          </w:p>
        </w:tc>
        <w:tc>
          <w:tcPr>
            <w:tcW w:w="600" w:type="dxa"/>
            <w:tcMar>
              <w:bottom w:w="100" w:type="dxa"/>
            </w:tcMar>
          </w:tcPr>
          <w:p/>
        </w:tc>
        <w:tc>
          <w:tcPr>
            <w:tcW w:w="5130" w:type="dxa"/>
            <w:tcMar>
              <w:left w:w="0" w:type="dxa"/>
            </w:tcMar>
          </w:tcPr>
          <w:p>
            <w:pPr>
              <w:pStyle w:val="p"/>
              <w:numPr>
                <w:ilvl w:val="0"/>
                <w:numId w:val="8"/>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Patient positioning</w:t>
            </w:r>
          </w:p>
        </w:tc>
      </w:tr>
      <w:tr>
        <w:tblPrEx>
          <w:tblW w:w="10860" w:type="dxa"/>
          <w:jc w:val="left"/>
          <w:tblInd w:w="460" w:type="dxa"/>
          <w:tblCellMar>
            <w:left w:w="108" w:type="dxa"/>
            <w:right w:w="108" w:type="dxa"/>
          </w:tblCellMar>
        </w:tblPrEx>
        <w:trPr>
          <w:jc w:val="left"/>
        </w:trPr>
        <w:tc>
          <w:tcPr>
            <w:tcW w:w="5130" w:type="dxa"/>
            <w:tcMar>
              <w:left w:w="0" w:type="dxa"/>
              <w:bottom w:w="0" w:type="dxa"/>
            </w:tcMar>
          </w:tcPr>
          <w:p>
            <w:pPr>
              <w:pStyle w:val="p"/>
              <w:numPr>
                <w:ilvl w:val="0"/>
                <w:numId w:val="9"/>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Medical documentation</w:t>
            </w:r>
          </w:p>
        </w:tc>
        <w:tc>
          <w:tcPr>
            <w:tcW w:w="600" w:type="dxa"/>
            <w:tcMar>
              <w:bottom w:w="0" w:type="dxa"/>
            </w:tcMar>
          </w:tcPr>
          <w:p/>
        </w:tc>
        <w:tc>
          <w:tcPr>
            <w:tcW w:w="5130" w:type="dxa"/>
            <w:tcMar>
              <w:left w:w="0" w:type="dxa"/>
              <w:bottom w:w="0" w:type="dxa"/>
            </w:tcMar>
          </w:tcPr>
          <w:p>
            <w:pPr>
              <w:pStyle w:val="p"/>
              <w:numPr>
                <w:ilvl w:val="0"/>
                <w:numId w:val="10"/>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Emergency response support</w:t>
            </w:r>
          </w:p>
        </w:tc>
      </w:tr>
    </w:tbl>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AA81D5"/>
          <w:bdr w:val="none" w:sz="0" w:space="0" w:color="auto"/>
          <w:vertAlign w:val="baseline"/>
        </w:rPr>
      </w:pPr>
      <w:r>
        <w:rPr>
          <w:rFonts w:ascii="Open Sans" w:eastAsia="Open Sans" w:hAnsi="Open Sans" w:cs="Open Sans"/>
          <w:b/>
          <w:bCs/>
          <w:caps/>
          <w:bdr w:val="none" w:sz="0" w:space="0" w:color="auto"/>
          <w:vertAlign w:val="baseline"/>
        </w:rPr>
        <w:t>Experience</w:t>
      </w:r>
    </w:p>
    <w:tbl>
      <w:tblPr>
        <w:tblStyle w:val="skn-slo3sectionexpr-secparlrColmn"/>
        <w:tblW w:w="0" w:type="auto"/>
        <w:tblCellSpacing w:w="0" w:type="dxa"/>
        <w:tblInd w:w="100" w:type="dxa"/>
        <w:tblLayout w:type="fixed"/>
        <w:tblCellMar>
          <w:top w:w="0" w:type="dxa"/>
          <w:left w:w="0" w:type="dxa"/>
          <w:bottom w:w="0" w:type="dxa"/>
          <w:right w:w="0" w:type="dxa"/>
        </w:tblCellMar>
        <w:tblLook w:val="05E0"/>
      </w:tblPr>
      <w:tblGrid>
        <w:gridCol w:w="290"/>
        <w:gridCol w:w="1093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90" w:type="dxa"/>
            <w:tcBorders>
              <w:left w:val="single" w:sz="8" w:space="0" w:color="C0C0C0"/>
            </w:tcBorders>
            <w:noWrap w:val="0"/>
            <w:tcMar>
              <w:top w:w="0" w:type="dxa"/>
              <w:left w:w="0" w:type="dxa"/>
              <w:bottom w:w="40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xpr-secparlrColmntimeline-svg"/>
                <w:rFonts w:ascii="Open Sans" w:eastAsia="Open Sans" w:hAnsi="Open Sans" w:cs="Open Sans"/>
                <w:color w:val="050505"/>
                <w:sz w:val="20"/>
                <w:szCs w:val="20"/>
                <w:bdr w:val="none" w:sz="0" w:space="0" w:color="auto"/>
                <w:vertAlign w:val="baseline"/>
              </w:rPr>
            </w:pPr>
            <w:r>
              <w:rPr>
                <w:rStyle w:val="skn-slo3sectionexpr-secparlrColmntimeline-svg"/>
                <w:rFonts w:ascii="Open Sans" w:eastAsia="Open Sans" w:hAnsi="Open Sans" w:cs="Open Sans"/>
                <w:color w:val="050505"/>
                <w:sz w:val="20"/>
                <w:szCs w:val="20"/>
                <w:bdr w:val="none" w:sz="0" w:space="0" w:color="auto"/>
                <w:vertAlign w:val="baseline"/>
              </w:rPr>
              <w:drawing>
                <wp:anchor simplePos="0" relativeHeight="251661312" behindDoc="0" locked="0" layoutInCell="1" allowOverlap="1">
                  <wp:simplePos x="0" y="0"/>
                  <wp:positionH relativeFrom="column">
                    <wp:posOffset>-50800</wp:posOffset>
                  </wp:positionH>
                  <wp:positionV relativeFrom="paragraph">
                    <wp:posOffset>-25400</wp:posOffset>
                  </wp:positionV>
                  <wp:extent cx="89410" cy="190998"/>
                  <wp:wrapNone/>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6"/>
                          <a:stretch>
                            <a:fillRect/>
                          </a:stretch>
                        </pic:blipFill>
                        <pic:spPr>
                          <a:xfrm>
                            <a:off x="0" y="0"/>
                            <a:ext cx="89410" cy="190998"/>
                          </a:xfrm>
                          <a:prstGeom prst="rect">
                            <a:avLst/>
                          </a:prstGeom>
                        </pic:spPr>
                      </pic:pic>
                    </a:graphicData>
                  </a:graphic>
                </wp:anchor>
              </w:drawing>
            </w:r>
          </w:p>
        </w:tc>
        <w:tc>
          <w:tcPr>
            <w:tcW w:w="10930" w:type="dxa"/>
            <w:noWrap w:val="0"/>
            <w:tcMar>
              <w:top w:w="0" w:type="dxa"/>
              <w:left w:w="0" w:type="dxa"/>
              <w:bottom w:w="400" w:type="dxa"/>
              <w:right w:w="0" w:type="dxa"/>
            </w:tcMar>
            <w:vAlign w:val="top"/>
            <w:hideMark/>
          </w:tcPr>
          <w:p>
            <w:pPr>
              <w:pStyle w:val="skn-slo3disp-block"/>
              <w:spacing w:before="0" w:after="0" w:line="280" w:lineRule="atLeast"/>
              <w:ind w:left="100" w:right="0"/>
              <w:rPr>
                <w:rStyle w:val="skn-slo3sectionexpr-secparlrColmnsinglecolumn"/>
                <w:rFonts w:ascii="Open Sans" w:eastAsia="Open Sans" w:hAnsi="Open Sans" w:cs="Open Sans"/>
                <w:color w:val="050505"/>
                <w:sz w:val="20"/>
                <w:szCs w:val="20"/>
                <w:bdr w:val="none" w:sz="0" w:space="0" w:color="auto"/>
                <w:vertAlign w:val="baseline"/>
              </w:rPr>
            </w:pPr>
            <w:r>
              <w:rPr>
                <w:rStyle w:val="skn-slo3txt-capsCharacter"/>
                <w:rFonts w:ascii="Open Sans" w:eastAsia="Open Sans" w:hAnsi="Open Sans" w:cs="Open Sans"/>
                <w:b/>
                <w:bCs/>
                <w:caps/>
                <w:color w:val="050505"/>
                <w:sz w:val="20"/>
                <w:szCs w:val="20"/>
              </w:rPr>
              <w:t>Surgical Nursing Assistant</w:t>
            </w:r>
            <w:r>
              <w:rPr>
                <w:rStyle w:val="spacebeforecomp"/>
                <w:color w:val="050505"/>
              </w:rPr>
              <w:t>  </w:t>
            </w:r>
            <w:r>
              <w:rPr>
                <w:rStyle w:val="skn-slo3color-support"/>
                <w:rFonts w:ascii="Open Sans" w:eastAsia="Open Sans" w:hAnsi="Open Sans" w:cs="Open Sans"/>
                <w:sz w:val="20"/>
                <w:szCs w:val="20"/>
              </w:rPr>
              <w:t>Apollo Hospitals</w:t>
            </w:r>
          </w:p>
          <w:tbl>
            <w:tblPr>
              <w:tblStyle w:val="skn-slo3sectionexpr-sectbl-upper"/>
              <w:tblCellSpacing w:w="0" w:type="dxa"/>
              <w:tblInd w:w="0" w:type="dxa"/>
              <w:tblLayout w:type="fixed"/>
              <w:tblCellMar>
                <w:top w:w="0" w:type="dxa"/>
                <w:left w:w="0" w:type="dxa"/>
                <w:bottom w:w="0" w:type="dxa"/>
                <w:right w:w="0" w:type="dxa"/>
              </w:tblCellMar>
              <w:tblLook w:val="05E0"/>
            </w:tblPr>
            <w:tblGrid>
              <w:gridCol w:w="6680"/>
              <w:gridCol w:w="200"/>
              <w:gridCol w:w="40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68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Bengaluru</w:t>
                  </w:r>
                  <w:r>
                    <w:rPr>
                      <w:rStyle w:val="span"/>
                      <w:rFonts w:ascii="Open Sans" w:eastAsia="Open Sans" w:hAnsi="Open Sans" w:cs="Open Sans"/>
                      <w:color w:val="050505"/>
                      <w:sz w:val="20"/>
                      <w:szCs w:val="20"/>
                    </w:rPr>
                    <w:t xml:space="preserve">, </w:t>
                  </w:r>
                  <w:r>
                    <w:rPr>
                      <w:rStyle w:val="skn-slo3txt-capsCharacter"/>
                      <w:rFonts w:ascii="Open Sans" w:eastAsia="Open Sans" w:hAnsi="Open Sans" w:cs="Open Sans"/>
                      <w:caps/>
                      <w:color w:val="050505"/>
                      <w:sz w:val="20"/>
                      <w:szCs w:val="20"/>
                    </w:rPr>
                    <w:t>Karnataka</w:t>
                  </w:r>
                  <w:r>
                    <w:rPr>
                      <w:rStyle w:val="singlecolumnspanpaddedlinenth-child1"/>
                      <w:rFonts w:ascii="Open Sans" w:eastAsia="Open Sans" w:hAnsi="Open Sans" w:cs="Open Sans"/>
                      <w:color w:val="050505"/>
                      <w:sz w:val="20"/>
                      <w:szCs w:val="20"/>
                    </w:rPr>
                    <w:t xml:space="preserve"> </w:t>
                  </w:r>
                </w:p>
              </w:tc>
              <w:tc>
                <w:tcPr>
                  <w:tcW w:w="20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inglecolumnspanpaddedlinenth-child1"/>
                      <w:rFonts w:ascii="Open Sans" w:eastAsia="Open Sans" w:hAnsi="Open Sans" w:cs="Open Sans"/>
                      <w:color w:val="050505"/>
                      <w:sz w:val="20"/>
                      <w:szCs w:val="20"/>
                    </w:rPr>
                  </w:pPr>
                  <w:r>
                    <w:rPr>
                      <w:rStyle w:val="skn-slo3sectionexpr-sectbl-upperpaddingcell"/>
                      <w:rFonts w:ascii="Open Sans" w:eastAsia="Open Sans" w:hAnsi="Open Sans" w:cs="Open Sans"/>
                      <w:color w:val="050505"/>
                      <w:sz w:val="20"/>
                      <w:szCs w:val="20"/>
                      <w:bdr w:val="none" w:sz="0" w:space="0" w:color="auto"/>
                      <w:vertAlign w:val="baseline"/>
                    </w:rPr>
                    <w:t> </w:t>
                  </w:r>
                </w:p>
              </w:tc>
              <w:tc>
                <w:tcPr>
                  <w:tcW w:w="4060" w:type="dxa"/>
                  <w:tcMar>
                    <w:top w:w="0" w:type="dxa"/>
                    <w:left w:w="0" w:type="dxa"/>
                    <w:bottom w:w="0" w:type="dxa"/>
                    <w:right w:w="2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jc w:val="right"/>
                    <w:textAlignment w:val="auto"/>
                    <w:rPr>
                      <w:rStyle w:val="skn-slo3sectionexpr-sectbl-upperpadding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i/>
                      <w:iCs/>
                      <w:color w:val="050505"/>
                      <w:sz w:val="20"/>
                      <w:szCs w:val="20"/>
                    </w:rPr>
                    <w:t>March 2021</w:t>
                  </w:r>
                  <w:r>
                    <w:rPr>
                      <w:rStyle w:val="span"/>
                      <w:rFonts w:ascii="Open Sans" w:eastAsia="Open Sans" w:hAnsi="Open Sans" w:cs="Open Sans"/>
                      <w:i/>
                      <w:iCs/>
                      <w:color w:val="050505"/>
                      <w:sz w:val="20"/>
                      <w:szCs w:val="20"/>
                    </w:rPr>
                    <w:t xml:space="preserve"> - </w:t>
                  </w:r>
                  <w:r>
                    <w:rPr>
                      <w:rStyle w:val="span"/>
                      <w:rFonts w:ascii="Open Sans" w:eastAsia="Open Sans" w:hAnsi="Open Sans" w:cs="Open Sans"/>
                      <w:i/>
                      <w:iCs/>
                      <w:color w:val="050505"/>
                      <w:sz w:val="20"/>
                      <w:szCs w:val="20"/>
                    </w:rPr>
                    <w:t>Present</w:t>
                  </w:r>
                  <w:r>
                    <w:rPr>
                      <w:rStyle w:val="skn-slo3txt-itl"/>
                      <w:rFonts w:ascii="Open Sans" w:eastAsia="Open Sans" w:hAnsi="Open Sans" w:cs="Open Sans"/>
                      <w:i/>
                      <w:iCs/>
                      <w:color w:val="050505"/>
                      <w:sz w:val="20"/>
                      <w:szCs w:val="20"/>
                    </w:rPr>
                    <w:t xml:space="preserve"> </w:t>
                  </w:r>
                </w:p>
              </w:tc>
            </w:tr>
          </w:tbl>
          <w:p>
            <w:pPr>
              <w:pStyle w:val="div"/>
              <w:pBdr>
                <w:top w:val="none" w:sz="0" w:space="0" w:color="auto"/>
                <w:left w:val="none" w:sz="0" w:space="0" w:color="auto"/>
                <w:bottom w:val="none" w:sz="0" w:space="0" w:color="auto"/>
                <w:right w:val="none" w:sz="0" w:space="0" w:color="auto"/>
              </w:pBdr>
              <w:spacing w:before="0" w:after="0" w:line="240" w:lineRule="exact"/>
              <w:ind w:left="100" w:right="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 </w:t>
            </w:r>
          </w:p>
          <w:tbl>
            <w:tblPr>
              <w:tblW w:w="10830" w:type="dxa"/>
              <w:jc w:val="left"/>
              <w:tblInd w:w="100" w:type="dxa"/>
              <w:tblLayout w:type="fixed"/>
              <w:tblCellMar>
                <w:left w:w="108" w:type="dxa"/>
                <w:right w:w="108" w:type="dxa"/>
              </w:tblCellMar>
            </w:tblPr>
            <w:tblGrid>
              <w:gridCol w:w="5115"/>
              <w:gridCol w:w="600"/>
              <w:gridCol w:w="5115"/>
            </w:tblGrid>
            <w:tr>
              <w:tblPrEx>
                <w:tblW w:w="10830" w:type="dxa"/>
                <w:jc w:val="left"/>
                <w:tblInd w:w="100" w:type="dxa"/>
                <w:tblLayout w:type="fixed"/>
                <w:tblCellMar>
                  <w:left w:w="108" w:type="dxa"/>
                  <w:right w:w="108" w:type="dxa"/>
                </w:tblCellMar>
              </w:tblPrEx>
              <w:trPr>
                <w:jc w:val="left"/>
              </w:trPr>
              <w:tc>
                <w:tcPr>
                  <w:tcW w:w="5115" w:type="dxa"/>
                  <w:tcMar>
                    <w:left w:w="0" w:type="dxa"/>
                  </w:tcMar>
                </w:tcPr>
                <w:p>
                  <w:pPr>
                    <w:pStyle w:val="skn-slo3ulliParagraph"/>
                    <w:numPr>
                      <w:ilvl w:val="0"/>
                      <w:numId w:val="11"/>
                    </w:numPr>
                    <w:tabs>
                      <w:tab w:val="left" w:pos="400"/>
                    </w:tabs>
                    <w:spacing w:before="0"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Assisted surgeons and nurses during various surgical procedures while maintaining sterile operation theatre environments.</w:t>
                  </w:r>
                </w:p>
              </w:tc>
              <w:tc>
                <w:tcPr>
                  <w:tcW w:w="600" w:type="dxa"/>
                  <w:tcMar>
                    <w:bottom w:w="100" w:type="dxa"/>
                  </w:tcMar>
                </w:tcPr>
                <w:p/>
              </w:tc>
              <w:tc>
                <w:tcPr>
                  <w:tcW w:w="5115" w:type="dxa"/>
                  <w:tcMar>
                    <w:left w:w="0" w:type="dxa"/>
                  </w:tcMar>
                </w:tcPr>
                <w:p>
                  <w:pPr>
                    <w:pStyle w:val="skn-slo3ulliParagraph"/>
                    <w:numPr>
                      <w:ilvl w:val="0"/>
                      <w:numId w:val="11"/>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Prepared patients for surgery including shaving, cleaning, positioning, and psychological comfort support.</w:t>
                  </w:r>
                </w:p>
              </w:tc>
            </w:tr>
            <w:tr>
              <w:tblPrEx>
                <w:tblW w:w="10830" w:type="dxa"/>
                <w:jc w:val="left"/>
                <w:tblInd w:w="100" w:type="dxa"/>
                <w:tblLayout w:type="fixed"/>
                <w:tblCellMar>
                  <w:left w:w="108" w:type="dxa"/>
                  <w:right w:w="108" w:type="dxa"/>
                </w:tblCellMar>
              </w:tblPrEx>
              <w:trPr>
                <w:jc w:val="left"/>
              </w:trPr>
              <w:tc>
                <w:tcPr>
                  <w:tcW w:w="5115" w:type="dxa"/>
                  <w:tcMar>
                    <w:left w:w="0" w:type="dxa"/>
                  </w:tcMar>
                </w:tcPr>
                <w:p>
                  <w:pPr>
                    <w:pStyle w:val="skn-slo3ulliParagraph"/>
                    <w:numPr>
                      <w:ilvl w:val="0"/>
                      <w:numId w:val="11"/>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Handled surgical instruments and ensured timely availability during procedures as per surgeon requirements.</w:t>
                  </w:r>
                </w:p>
              </w:tc>
              <w:tc>
                <w:tcPr>
                  <w:tcW w:w="600" w:type="dxa"/>
                  <w:tcMar>
                    <w:bottom w:w="100" w:type="dxa"/>
                  </w:tcMar>
                </w:tcPr>
                <w:p/>
              </w:tc>
              <w:tc>
                <w:tcPr>
                  <w:tcW w:w="5115" w:type="dxa"/>
                  <w:tcMar>
                    <w:left w:w="0" w:type="dxa"/>
                  </w:tcMar>
                </w:tcPr>
                <w:p>
                  <w:pPr>
                    <w:pStyle w:val="skn-slo3ulliParagraph"/>
                    <w:numPr>
                      <w:ilvl w:val="0"/>
                      <w:numId w:val="11"/>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Monitored vital signs before, during, and after surgeries, reporting changes to nursing staff promptly.</w:t>
                  </w:r>
                </w:p>
              </w:tc>
            </w:tr>
            <w:tr>
              <w:tblPrEx>
                <w:tblW w:w="10830" w:type="dxa"/>
                <w:jc w:val="left"/>
                <w:tblInd w:w="100" w:type="dxa"/>
                <w:tblLayout w:type="fixed"/>
                <w:tblCellMar>
                  <w:left w:w="108" w:type="dxa"/>
                  <w:right w:w="108" w:type="dxa"/>
                </w:tblCellMar>
              </w:tblPrEx>
              <w:trPr>
                <w:jc w:val="left"/>
              </w:trPr>
              <w:tc>
                <w:tcPr>
                  <w:tcW w:w="5115" w:type="dxa"/>
                  <w:tcMar>
                    <w:left w:w="0" w:type="dxa"/>
                  </w:tcMar>
                </w:tcPr>
                <w:p>
                  <w:pPr>
                    <w:pStyle w:val="skn-slo3ulliParagraph"/>
                    <w:numPr>
                      <w:ilvl w:val="0"/>
                      <w:numId w:val="11"/>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Maintained strict sterilization and infection control standards inside operation theatres.</w:t>
                  </w:r>
                </w:p>
              </w:tc>
              <w:tc>
                <w:tcPr>
                  <w:tcW w:w="600" w:type="dxa"/>
                  <w:tcMar>
                    <w:bottom w:w="100" w:type="dxa"/>
                  </w:tcMar>
                </w:tcPr>
                <w:p/>
              </w:tc>
              <w:tc>
                <w:tcPr>
                  <w:tcW w:w="5115" w:type="dxa"/>
                  <w:tcMar>
                    <w:left w:w="0" w:type="dxa"/>
                  </w:tcMar>
                </w:tcPr>
                <w:p>
                  <w:pPr>
                    <w:pStyle w:val="skn-slo3ulliParagraph"/>
                    <w:numPr>
                      <w:ilvl w:val="0"/>
                      <w:numId w:val="11"/>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Supported postoperative patient transfer and initial recovery room monitoring activities.</w:t>
                  </w:r>
                </w:p>
              </w:tc>
            </w:tr>
            <w:tr>
              <w:tblPrEx>
                <w:tblW w:w="10830" w:type="dxa"/>
                <w:jc w:val="left"/>
                <w:tblInd w:w="100" w:type="dxa"/>
                <w:tblLayout w:type="fixed"/>
                <w:tblCellMar>
                  <w:left w:w="108" w:type="dxa"/>
                  <w:right w:w="108" w:type="dxa"/>
                </w:tblCellMar>
              </w:tblPrEx>
              <w:trPr>
                <w:jc w:val="left"/>
              </w:trPr>
              <w:tc>
                <w:tcPr>
                  <w:tcW w:w="5115" w:type="dxa"/>
                  <w:tcMar>
                    <w:left w:w="0" w:type="dxa"/>
                    <w:bottom w:w="0" w:type="dxa"/>
                  </w:tcMar>
                </w:tcPr>
                <w:p>
                  <w:pPr>
                    <w:pStyle w:val="skn-slo3ullinth-last-child1Paragraph"/>
                    <w:numPr>
                      <w:ilvl w:val="0"/>
                      <w:numId w:val="11"/>
                    </w:numPr>
                    <w:tabs>
                      <w:tab w:val="left" w:pos="400"/>
                    </w:tabs>
                    <w:spacing w:after="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Documented surgical assistance activities and patient care details accurately in hospital records.</w:t>
                  </w:r>
                </w:p>
              </w:tc>
              <w:tc>
                <w:tcPr>
                  <w:tcW w:w="600" w:type="dxa"/>
                  <w:tcMar>
                    <w:bottom w:w="0" w:type="dxa"/>
                  </w:tcMar>
                </w:tcPr>
                <w:p/>
              </w:tc>
              <w:tc>
                <w:tcPr>
                  <w:tcW w:w="5115" w:type="dxa"/>
                  <w:tcMar>
                    <w:bottom w:w="0" w:type="dxa"/>
                  </w:tcMar>
                </w:tcPr>
                <w:p/>
              </w:tc>
            </w:tr>
          </w:tbl>
          <w:p/>
        </w:tc>
      </w:tr>
    </w:tbl>
    <w:p>
      <w:pPr>
        <w:rPr>
          <w:vanish/>
        </w:rPr>
      </w:pPr>
    </w:p>
    <w:tbl>
      <w:tblPr>
        <w:tblStyle w:val="skn-slo3sectionexpr-secparlrColmn"/>
        <w:tblW w:w="0" w:type="auto"/>
        <w:tblCellSpacing w:w="0" w:type="dxa"/>
        <w:tblInd w:w="100" w:type="dxa"/>
        <w:tblLayout w:type="fixed"/>
        <w:tblCellMar>
          <w:top w:w="0" w:type="dxa"/>
          <w:left w:w="0" w:type="dxa"/>
          <w:bottom w:w="0" w:type="dxa"/>
          <w:right w:w="0" w:type="dxa"/>
        </w:tblCellMar>
        <w:tblLook w:val="05E0"/>
      </w:tblPr>
      <w:tblGrid>
        <w:gridCol w:w="280"/>
        <w:gridCol w:w="1094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80" w:type="dxa"/>
            <w:noWrap w:val="0"/>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xpr-secparlrColmnparagraphnth-last-child1timeline-svg"/>
                <w:rFonts w:ascii="Open Sans" w:eastAsia="Open Sans" w:hAnsi="Open Sans" w:cs="Open Sans"/>
                <w:color w:val="050505"/>
                <w:sz w:val="20"/>
                <w:szCs w:val="20"/>
                <w:bdr w:val="none" w:sz="0" w:space="0" w:color="auto"/>
                <w:vertAlign w:val="baseline"/>
              </w:rPr>
            </w:pPr>
            <w:r>
              <w:rPr>
                <w:rStyle w:val="skn-slo3sectionexpr-secparlrColmnparagraphnth-last-child1timeline-svg"/>
                <w:rFonts w:ascii="Open Sans" w:eastAsia="Open Sans" w:hAnsi="Open Sans" w:cs="Open Sans"/>
                <w:color w:val="050505"/>
                <w:sz w:val="20"/>
                <w:szCs w:val="20"/>
                <w:bdr w:val="none" w:sz="0" w:space="0" w:color="auto"/>
                <w:vertAlign w:val="baseline"/>
              </w:rPr>
              <w:drawing>
                <wp:anchor simplePos="0" relativeHeight="251662336" behindDoc="0" locked="0" layoutInCell="1" allowOverlap="1">
                  <wp:simplePos x="0" y="0"/>
                  <wp:positionH relativeFrom="column">
                    <wp:posOffset>-50800</wp:posOffset>
                  </wp:positionH>
                  <wp:positionV relativeFrom="paragraph">
                    <wp:posOffset>25400</wp:posOffset>
                  </wp:positionV>
                  <wp:extent cx="89410" cy="127540"/>
                  <wp:wrapNone/>
                  <wp:docPr id="10001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0"/>
                          </pic:cNvPicPr>
                        </pic:nvPicPr>
                        <pic:blipFill>
                          <a:blip xmlns:r="http://schemas.openxmlformats.org/officeDocument/2006/relationships" r:embed="rId7"/>
                          <a:stretch>
                            <a:fillRect/>
                          </a:stretch>
                        </pic:blipFill>
                        <pic:spPr>
                          <a:xfrm>
                            <a:off x="0" y="0"/>
                            <a:ext cx="89410" cy="127540"/>
                          </a:xfrm>
                          <a:prstGeom prst="rect">
                            <a:avLst/>
                          </a:prstGeom>
                        </pic:spPr>
                      </pic:pic>
                    </a:graphicData>
                  </a:graphic>
                </wp:anchor>
              </w:drawing>
            </w:r>
          </w:p>
        </w:tc>
        <w:tc>
          <w:tcPr>
            <w:tcW w:w="10940" w:type="dxa"/>
            <w:noWrap w:val="0"/>
            <w:tcMar>
              <w:top w:w="0" w:type="dxa"/>
              <w:left w:w="0" w:type="dxa"/>
              <w:bottom w:w="0" w:type="dxa"/>
              <w:right w:w="0" w:type="dxa"/>
            </w:tcMar>
            <w:vAlign w:val="top"/>
            <w:hideMark/>
          </w:tcPr>
          <w:p>
            <w:pPr>
              <w:pStyle w:val="skn-slo3disp-block"/>
              <w:spacing w:before="0" w:after="0" w:line="280" w:lineRule="atLeast"/>
              <w:ind w:left="100" w:right="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txt-capsCharacter"/>
                <w:rFonts w:ascii="Open Sans" w:eastAsia="Open Sans" w:hAnsi="Open Sans" w:cs="Open Sans"/>
                <w:b/>
                <w:bCs/>
                <w:caps/>
                <w:color w:val="050505"/>
                <w:sz w:val="20"/>
                <w:szCs w:val="20"/>
              </w:rPr>
              <w:t>Surgical Nursing Assistant</w:t>
            </w:r>
            <w:r>
              <w:rPr>
                <w:rStyle w:val="spacebeforecomp"/>
                <w:color w:val="050505"/>
              </w:rPr>
              <w:t>  </w:t>
            </w:r>
            <w:r>
              <w:rPr>
                <w:rStyle w:val="skn-slo3color-support"/>
                <w:rFonts w:ascii="Open Sans" w:eastAsia="Open Sans" w:hAnsi="Open Sans" w:cs="Open Sans"/>
                <w:sz w:val="20"/>
                <w:szCs w:val="20"/>
              </w:rPr>
              <w:t>Manipal Hospital</w:t>
            </w:r>
          </w:p>
          <w:tbl>
            <w:tblPr>
              <w:tblStyle w:val="skn-slo3sectionexpr-sectbl-upper"/>
              <w:tblCellSpacing w:w="0" w:type="dxa"/>
              <w:tblInd w:w="0" w:type="dxa"/>
              <w:tblLayout w:type="fixed"/>
              <w:tblCellMar>
                <w:top w:w="0" w:type="dxa"/>
                <w:left w:w="0" w:type="dxa"/>
                <w:bottom w:w="0" w:type="dxa"/>
                <w:right w:w="0" w:type="dxa"/>
              </w:tblCellMar>
              <w:tblLook w:val="05E0"/>
            </w:tblPr>
            <w:tblGrid>
              <w:gridCol w:w="6680"/>
              <w:gridCol w:w="200"/>
              <w:gridCol w:w="40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68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Bengaluru</w:t>
                  </w:r>
                  <w:r>
                    <w:rPr>
                      <w:rStyle w:val="span"/>
                      <w:rFonts w:ascii="Open Sans" w:eastAsia="Open Sans" w:hAnsi="Open Sans" w:cs="Open Sans"/>
                      <w:color w:val="050505"/>
                      <w:sz w:val="20"/>
                      <w:szCs w:val="20"/>
                    </w:rPr>
                    <w:t xml:space="preserve">, </w:t>
                  </w:r>
                  <w:r>
                    <w:rPr>
                      <w:rStyle w:val="skn-slo3txt-capsCharacter"/>
                      <w:rFonts w:ascii="Open Sans" w:eastAsia="Open Sans" w:hAnsi="Open Sans" w:cs="Open Sans"/>
                      <w:caps/>
                      <w:color w:val="050505"/>
                      <w:sz w:val="20"/>
                      <w:szCs w:val="20"/>
                    </w:rPr>
                    <w:t>Karnataka</w:t>
                  </w:r>
                  <w:r>
                    <w:rPr>
                      <w:rStyle w:val="singlecolumnspanpaddedlinenth-child1"/>
                      <w:rFonts w:ascii="Open Sans" w:eastAsia="Open Sans" w:hAnsi="Open Sans" w:cs="Open Sans"/>
                      <w:color w:val="050505"/>
                      <w:sz w:val="20"/>
                      <w:szCs w:val="20"/>
                    </w:rPr>
                    <w:t xml:space="preserve"> </w:t>
                  </w:r>
                </w:p>
              </w:tc>
              <w:tc>
                <w:tcPr>
                  <w:tcW w:w="20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inglecolumnspanpaddedlinenth-child1"/>
                      <w:rFonts w:ascii="Open Sans" w:eastAsia="Open Sans" w:hAnsi="Open Sans" w:cs="Open Sans"/>
                      <w:color w:val="050505"/>
                      <w:sz w:val="20"/>
                      <w:szCs w:val="20"/>
                    </w:rPr>
                  </w:pPr>
                  <w:r>
                    <w:rPr>
                      <w:rStyle w:val="skn-slo3sectionexpr-sectbl-upperpaddingcell"/>
                      <w:rFonts w:ascii="Open Sans" w:eastAsia="Open Sans" w:hAnsi="Open Sans" w:cs="Open Sans"/>
                      <w:color w:val="050505"/>
                      <w:sz w:val="20"/>
                      <w:szCs w:val="20"/>
                      <w:bdr w:val="none" w:sz="0" w:space="0" w:color="auto"/>
                      <w:vertAlign w:val="baseline"/>
                    </w:rPr>
                    <w:t> </w:t>
                  </w:r>
                </w:p>
              </w:tc>
              <w:tc>
                <w:tcPr>
                  <w:tcW w:w="4060" w:type="dxa"/>
                  <w:tcMar>
                    <w:top w:w="0" w:type="dxa"/>
                    <w:left w:w="0" w:type="dxa"/>
                    <w:bottom w:w="0" w:type="dxa"/>
                    <w:right w:w="2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jc w:val="right"/>
                    <w:textAlignment w:val="auto"/>
                    <w:rPr>
                      <w:rStyle w:val="skn-slo3sectionexpr-sectbl-upperpadding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i/>
                      <w:iCs/>
                      <w:color w:val="050505"/>
                      <w:sz w:val="20"/>
                      <w:szCs w:val="20"/>
                    </w:rPr>
                    <w:t>January 2019</w:t>
                  </w:r>
                  <w:r>
                    <w:rPr>
                      <w:rStyle w:val="span"/>
                      <w:rFonts w:ascii="Open Sans" w:eastAsia="Open Sans" w:hAnsi="Open Sans" w:cs="Open Sans"/>
                      <w:i/>
                      <w:iCs/>
                      <w:color w:val="050505"/>
                      <w:sz w:val="20"/>
                      <w:szCs w:val="20"/>
                    </w:rPr>
                    <w:t xml:space="preserve"> - </w:t>
                  </w:r>
                  <w:r>
                    <w:rPr>
                      <w:rStyle w:val="span"/>
                      <w:rFonts w:ascii="Open Sans" w:eastAsia="Open Sans" w:hAnsi="Open Sans" w:cs="Open Sans"/>
                      <w:i/>
                      <w:iCs/>
                      <w:color w:val="050505"/>
                      <w:sz w:val="20"/>
                      <w:szCs w:val="20"/>
                    </w:rPr>
                    <w:t>February 2021</w:t>
                  </w:r>
                  <w:r>
                    <w:rPr>
                      <w:rStyle w:val="skn-slo3txt-itl"/>
                      <w:rFonts w:ascii="Open Sans" w:eastAsia="Open Sans" w:hAnsi="Open Sans" w:cs="Open Sans"/>
                      <w:i/>
                      <w:iCs/>
                      <w:color w:val="050505"/>
                      <w:sz w:val="20"/>
                      <w:szCs w:val="20"/>
                    </w:rPr>
                    <w:t xml:space="preserve"> </w:t>
                  </w:r>
                </w:p>
              </w:tc>
            </w:tr>
          </w:tbl>
          <w:p>
            <w:pPr>
              <w:pStyle w:val="div"/>
              <w:pBdr>
                <w:top w:val="none" w:sz="0" w:space="0" w:color="auto"/>
                <w:left w:val="none" w:sz="0" w:space="0" w:color="auto"/>
                <w:bottom w:val="none" w:sz="0" w:space="0" w:color="auto"/>
                <w:right w:val="none" w:sz="0" w:space="0" w:color="auto"/>
              </w:pBdr>
              <w:spacing w:before="0" w:after="0" w:line="240" w:lineRule="exact"/>
              <w:ind w:left="100" w:right="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 </w:t>
            </w:r>
          </w:p>
          <w:tbl>
            <w:tblPr>
              <w:tblW w:w="10840" w:type="dxa"/>
              <w:jc w:val="left"/>
              <w:tblInd w:w="100" w:type="dxa"/>
              <w:tblLayout w:type="fixed"/>
              <w:tblCellMar>
                <w:left w:w="108" w:type="dxa"/>
                <w:right w:w="108" w:type="dxa"/>
              </w:tblCellMar>
            </w:tblPr>
            <w:tblGrid>
              <w:gridCol w:w="5120"/>
              <w:gridCol w:w="600"/>
              <w:gridCol w:w="5120"/>
            </w:tblGrid>
            <w:tr>
              <w:tblPrEx>
                <w:tblW w:w="10840" w:type="dxa"/>
                <w:jc w:val="left"/>
                <w:tblInd w:w="100" w:type="dxa"/>
                <w:tblLayout w:type="fixed"/>
                <w:tblCellMar>
                  <w:left w:w="108" w:type="dxa"/>
                  <w:right w:w="108" w:type="dxa"/>
                </w:tblCellMar>
              </w:tblPrEx>
              <w:trPr>
                <w:jc w:val="left"/>
              </w:trPr>
              <w:tc>
                <w:tcPr>
                  <w:tcW w:w="5120" w:type="dxa"/>
                  <w:tcMar>
                    <w:left w:w="0" w:type="dxa"/>
                  </w:tcMar>
                </w:tcPr>
                <w:p>
                  <w:pPr>
                    <w:pStyle w:val="skn-slo3ulliParagraph"/>
                    <w:numPr>
                      <w:ilvl w:val="0"/>
                      <w:numId w:val="12"/>
                    </w:numPr>
                    <w:tabs>
                      <w:tab w:val="left" w:pos="400"/>
                    </w:tabs>
                    <w:spacing w:before="0" w:after="10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Assisted in preoperative room setup and ensured surgical tools were cleaned and arranged properly.</w:t>
                  </w:r>
                </w:p>
              </w:tc>
              <w:tc>
                <w:tcPr>
                  <w:tcW w:w="600" w:type="dxa"/>
                  <w:tcMar>
                    <w:bottom w:w="100" w:type="dxa"/>
                  </w:tcMar>
                </w:tcPr>
                <w:p/>
              </w:tc>
              <w:tc>
                <w:tcPr>
                  <w:tcW w:w="5120" w:type="dxa"/>
                  <w:tcMar>
                    <w:left w:w="0" w:type="dxa"/>
                  </w:tcMar>
                </w:tcPr>
                <w:p>
                  <w:pPr>
                    <w:pStyle w:val="skn-slo3ulliParagraph"/>
                    <w:numPr>
                      <w:ilvl w:val="0"/>
                      <w:numId w:val="12"/>
                    </w:numPr>
                    <w:tabs>
                      <w:tab w:val="left" w:pos="400"/>
                    </w:tabs>
                    <w:spacing w:after="10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Supported nursing staff during minor and major surgical procedures across multiple departments.</w:t>
                  </w:r>
                </w:p>
              </w:tc>
            </w:tr>
            <w:tr>
              <w:tblPrEx>
                <w:tblW w:w="10840" w:type="dxa"/>
                <w:jc w:val="left"/>
                <w:tblInd w:w="100" w:type="dxa"/>
                <w:tblLayout w:type="fixed"/>
                <w:tblCellMar>
                  <w:left w:w="108" w:type="dxa"/>
                  <w:right w:w="108" w:type="dxa"/>
                </w:tblCellMar>
              </w:tblPrEx>
              <w:trPr>
                <w:jc w:val="left"/>
              </w:trPr>
              <w:tc>
                <w:tcPr>
                  <w:tcW w:w="5120" w:type="dxa"/>
                  <w:tcMar>
                    <w:left w:w="0" w:type="dxa"/>
                  </w:tcMar>
                </w:tcPr>
                <w:p>
                  <w:pPr>
                    <w:pStyle w:val="skn-slo3ulliParagraph"/>
                    <w:numPr>
                      <w:ilvl w:val="0"/>
                      <w:numId w:val="12"/>
                    </w:numPr>
                    <w:tabs>
                      <w:tab w:val="left" w:pos="400"/>
                    </w:tabs>
                    <w:spacing w:after="10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Helped patients with mobility and comfort during preoperative and postoperative periods.</w:t>
                  </w:r>
                </w:p>
              </w:tc>
              <w:tc>
                <w:tcPr>
                  <w:tcW w:w="600" w:type="dxa"/>
                  <w:tcMar>
                    <w:bottom w:w="100" w:type="dxa"/>
                  </w:tcMar>
                </w:tcPr>
                <w:p/>
              </w:tc>
              <w:tc>
                <w:tcPr>
                  <w:tcW w:w="5120" w:type="dxa"/>
                  <w:tcMar>
                    <w:left w:w="0" w:type="dxa"/>
                  </w:tcMar>
                </w:tcPr>
                <w:p>
                  <w:pPr>
                    <w:pStyle w:val="skn-slo3ulliParagraph"/>
                    <w:numPr>
                      <w:ilvl w:val="0"/>
                      <w:numId w:val="12"/>
                    </w:numPr>
                    <w:tabs>
                      <w:tab w:val="left" w:pos="400"/>
                    </w:tabs>
                    <w:spacing w:after="10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Observed patients for postoperative complications and escalated concerns to senior nurses.</w:t>
                  </w:r>
                </w:p>
              </w:tc>
            </w:tr>
            <w:tr>
              <w:tblPrEx>
                <w:tblW w:w="10840" w:type="dxa"/>
                <w:jc w:val="left"/>
                <w:tblInd w:w="100" w:type="dxa"/>
                <w:tblLayout w:type="fixed"/>
                <w:tblCellMar>
                  <w:left w:w="108" w:type="dxa"/>
                  <w:right w:w="108" w:type="dxa"/>
                </w:tblCellMar>
              </w:tblPrEx>
              <w:trPr>
                <w:jc w:val="left"/>
              </w:trPr>
              <w:tc>
                <w:tcPr>
                  <w:tcW w:w="5120" w:type="dxa"/>
                  <w:tcMar>
                    <w:left w:w="0" w:type="dxa"/>
                  </w:tcMar>
                </w:tcPr>
                <w:p>
                  <w:pPr>
                    <w:pStyle w:val="skn-slo3ulliParagraph"/>
                    <w:numPr>
                      <w:ilvl w:val="0"/>
                      <w:numId w:val="12"/>
                    </w:numPr>
                    <w:tabs>
                      <w:tab w:val="left" w:pos="400"/>
                    </w:tabs>
                    <w:spacing w:after="10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Maintained cleanliness of surgical wards and followed hospital hygiene protocols consistently.</w:t>
                  </w:r>
                </w:p>
              </w:tc>
              <w:tc>
                <w:tcPr>
                  <w:tcW w:w="600" w:type="dxa"/>
                  <w:tcMar>
                    <w:bottom w:w="100" w:type="dxa"/>
                  </w:tcMar>
                </w:tcPr>
                <w:p/>
              </w:tc>
              <w:tc>
                <w:tcPr>
                  <w:tcW w:w="5120" w:type="dxa"/>
                  <w:tcMar>
                    <w:left w:w="0" w:type="dxa"/>
                  </w:tcMar>
                </w:tcPr>
                <w:p>
                  <w:pPr>
                    <w:pStyle w:val="skn-slo3ulliParagraph"/>
                    <w:numPr>
                      <w:ilvl w:val="0"/>
                      <w:numId w:val="12"/>
                    </w:numPr>
                    <w:tabs>
                      <w:tab w:val="left" w:pos="400"/>
                    </w:tabs>
                    <w:spacing w:after="10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Assisted in transporting patients safely between wards, operation theatres, and recovery rooms.</w:t>
                  </w:r>
                </w:p>
              </w:tc>
            </w:tr>
            <w:tr>
              <w:tblPrEx>
                <w:tblW w:w="10840" w:type="dxa"/>
                <w:jc w:val="left"/>
                <w:tblInd w:w="100" w:type="dxa"/>
                <w:tblLayout w:type="fixed"/>
                <w:tblCellMar>
                  <w:left w:w="108" w:type="dxa"/>
                  <w:right w:w="108" w:type="dxa"/>
                </w:tblCellMar>
              </w:tblPrEx>
              <w:trPr>
                <w:jc w:val="left"/>
              </w:trPr>
              <w:tc>
                <w:tcPr>
                  <w:tcW w:w="5120" w:type="dxa"/>
                  <w:tcMar>
                    <w:left w:w="0" w:type="dxa"/>
                    <w:bottom w:w="0" w:type="dxa"/>
                  </w:tcMar>
                </w:tcPr>
                <w:p>
                  <w:pPr>
                    <w:pStyle w:val="skn-slo3ullinth-last-child1Paragraph"/>
                    <w:numPr>
                      <w:ilvl w:val="0"/>
                      <w:numId w:val="12"/>
                    </w:numPr>
                    <w:tabs>
                      <w:tab w:val="left" w:pos="400"/>
                    </w:tabs>
                    <w:spacing w:after="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Coordinated with surgeons, anesthetists, and nurses for smooth surgical workflow support.</w:t>
                  </w:r>
                </w:p>
              </w:tc>
              <w:tc>
                <w:tcPr>
                  <w:tcW w:w="600" w:type="dxa"/>
                  <w:tcMar>
                    <w:bottom w:w="0" w:type="dxa"/>
                  </w:tcMar>
                </w:tcPr>
                <w:p/>
              </w:tc>
              <w:tc>
                <w:tcPr>
                  <w:tcW w:w="5120" w:type="dxa"/>
                  <w:tcMar>
                    <w:bottom w:w="0" w:type="dxa"/>
                  </w:tcMar>
                </w:tcPr>
                <w:p/>
              </w:tc>
            </w:tr>
          </w:tbl>
          <w:p/>
        </w:tc>
      </w:tr>
    </w:tbl>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AA81D5"/>
          <w:bdr w:val="none" w:sz="0" w:space="0" w:color="auto"/>
          <w:vertAlign w:val="baseline"/>
        </w:rPr>
      </w:pPr>
      <w:r>
        <w:rPr>
          <w:rFonts w:ascii="Open Sans" w:eastAsia="Open Sans" w:hAnsi="Open Sans" w:cs="Open Sans"/>
          <w:b/>
          <w:bCs/>
          <w:caps/>
          <w:bdr w:val="none" w:sz="0" w:space="0" w:color="auto"/>
          <w:vertAlign w:val="baseline"/>
        </w:rPr>
        <w:t>Education</w:t>
      </w:r>
    </w:p>
    <w:tbl>
      <w:tblPr>
        <w:tblStyle w:val="skn-slo3sectionedu-secparlrColmn"/>
        <w:tblW w:w="0" w:type="auto"/>
        <w:tblCellSpacing w:w="0" w:type="dxa"/>
        <w:tblInd w:w="100" w:type="dxa"/>
        <w:tblLayout w:type="fixed"/>
        <w:tblCellMar>
          <w:top w:w="0" w:type="dxa"/>
          <w:left w:w="0" w:type="dxa"/>
          <w:bottom w:w="0" w:type="dxa"/>
          <w:right w:w="0" w:type="dxa"/>
        </w:tblCellMar>
        <w:tblLook w:val="05E0"/>
      </w:tblPr>
      <w:tblGrid>
        <w:gridCol w:w="290"/>
        <w:gridCol w:w="1093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90" w:type="dxa"/>
            <w:tcBorders>
              <w:left w:val="single" w:sz="8" w:space="0" w:color="C0C0C0"/>
            </w:tcBorders>
            <w:noWrap w:val="0"/>
            <w:tcMar>
              <w:top w:w="0" w:type="dxa"/>
              <w:left w:w="0" w:type="dxa"/>
              <w:bottom w:w="40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du-secparlrColmntimeline-svg"/>
                <w:rFonts w:ascii="Open Sans" w:eastAsia="Open Sans" w:hAnsi="Open Sans" w:cs="Open Sans"/>
                <w:color w:val="050505"/>
                <w:sz w:val="20"/>
                <w:szCs w:val="20"/>
                <w:bdr w:val="none" w:sz="0" w:space="0" w:color="auto"/>
                <w:vertAlign w:val="baseline"/>
              </w:rPr>
            </w:pPr>
            <w:r>
              <w:rPr>
                <w:rStyle w:val="skn-slo3sectionedu-secparlrColmntimeline-svg"/>
                <w:rFonts w:ascii="Open Sans" w:eastAsia="Open Sans" w:hAnsi="Open Sans" w:cs="Open Sans"/>
                <w:color w:val="050505"/>
                <w:sz w:val="20"/>
                <w:szCs w:val="20"/>
                <w:bdr w:val="none" w:sz="0" w:space="0" w:color="auto"/>
                <w:vertAlign w:val="baseline"/>
              </w:rPr>
              <w:drawing>
                <wp:anchor simplePos="0" relativeHeight="251663360" behindDoc="0" locked="0" layoutInCell="1" allowOverlap="1">
                  <wp:simplePos x="0" y="0"/>
                  <wp:positionH relativeFrom="column">
                    <wp:posOffset>-50800</wp:posOffset>
                  </wp:positionH>
                  <wp:positionV relativeFrom="paragraph">
                    <wp:posOffset>-25400</wp:posOffset>
                  </wp:positionV>
                  <wp:extent cx="89410" cy="190998"/>
                  <wp:wrapNone/>
                  <wp:docPr id="10001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0"/>
                          </pic:cNvPicPr>
                        </pic:nvPicPr>
                        <pic:blipFill>
                          <a:blip xmlns:r="http://schemas.openxmlformats.org/officeDocument/2006/relationships" r:embed="rId6"/>
                          <a:stretch>
                            <a:fillRect/>
                          </a:stretch>
                        </pic:blipFill>
                        <pic:spPr>
                          <a:xfrm>
                            <a:off x="0" y="0"/>
                            <a:ext cx="89410" cy="190998"/>
                          </a:xfrm>
                          <a:prstGeom prst="rect">
                            <a:avLst/>
                          </a:prstGeom>
                        </pic:spPr>
                      </pic:pic>
                    </a:graphicData>
                  </a:graphic>
                </wp:anchor>
              </w:drawing>
            </w:r>
          </w:p>
        </w:tc>
        <w:tc>
          <w:tcPr>
            <w:tcW w:w="10930" w:type="dxa"/>
            <w:noWrap w:val="0"/>
            <w:tcMar>
              <w:top w:w="0" w:type="dxa"/>
              <w:left w:w="0" w:type="dxa"/>
              <w:bottom w:w="400" w:type="dxa"/>
              <w:right w:w="0" w:type="dxa"/>
            </w:tcMar>
            <w:vAlign w:val="top"/>
            <w:hideMark/>
          </w:tcPr>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8840"/>
              <w:gridCol w:w="100"/>
              <w:gridCol w:w="200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884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aps/>
                      <w:color w:val="050505"/>
                      <w:sz w:val="20"/>
                      <w:szCs w:val="20"/>
                    </w:rPr>
                    <w:t>10th Standard</w:t>
                  </w:r>
                  <w:r>
                    <w:rPr>
                      <w:rStyle w:val="skn-slo3edu-seccmn-title"/>
                      <w:rFonts w:ascii="Open Sans" w:eastAsia="Open Sans" w:hAnsi="Open Sans" w:cs="Open Sans"/>
                      <w:b/>
                      <w:bCs/>
                      <w:cap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200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p>
              </w:tc>
            </w:tr>
          </w:tbl>
          <w:p>
            <w:pPr>
              <w:rPr>
                <w:vanish/>
              </w:rPr>
            </w:pPr>
          </w:p>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6400"/>
              <w:gridCol w:w="100"/>
              <w:gridCol w:w="444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40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kn-slo3color-support"/>
                      <w:rFonts w:ascii="Open Sans" w:eastAsia="Open Sans" w:hAnsi="Open Sans" w:cs="Open Sans"/>
                      <w:sz w:val="20"/>
                      <w:szCs w:val="20"/>
                    </w:rPr>
                    <w:t>Kendriya Vidyalaya</w:t>
                  </w:r>
                  <w:r>
                    <w:rPr>
                      <w:rStyle w:val="skn-slo3txt-bold"/>
                      <w:rFonts w:ascii="Open Sans" w:eastAsia="Open Sans" w:hAnsi="Open Sans" w:cs="Open Sans"/>
                      <w:b/>
                      <w:bCs/>
                      <w:color w:val="AA81D5"/>
                      <w:sz w:val="20"/>
                      <w:szCs w:val="20"/>
                    </w:rPr>
                    <w:t xml:space="preserve">, </w:t>
                  </w:r>
                  <w:r>
                    <w:rPr>
                      <w:rStyle w:val="skn-slo3txt-capsCharacter"/>
                      <w:rFonts w:ascii="Open Sans" w:eastAsia="Open Sans" w:hAnsi="Open Sans" w:cs="Open Sans"/>
                      <w:caps/>
                      <w:color w:val="050505"/>
                      <w:sz w:val="20"/>
                      <w:szCs w:val="20"/>
                    </w:rPr>
                    <w:t>Karnataka</w:t>
                  </w:r>
                  <w:r>
                    <w:rPr>
                      <w:rStyle w:val="skn-slo3tbl-leftinner"/>
                      <w:rFonts w:ascii="Open Sans" w:eastAsia="Open Sans" w:hAnsi="Open Sans" w:cs="Open San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444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i/>
                      <w:iCs/>
                      <w:color w:val="050505"/>
                      <w:sz w:val="20"/>
                      <w:szCs w:val="20"/>
                    </w:rPr>
                    <w:t>March 2010</w:t>
                  </w:r>
                </w:p>
              </w:tc>
            </w:tr>
          </w:tbl>
          <w:p>
            <w:pPr>
              <w:rPr>
                <w:rStyle w:val="skn-slo3sectionedu-secparlrColmnsinglecolumn"/>
                <w:rFonts w:ascii="Open Sans" w:eastAsia="Open Sans" w:hAnsi="Open Sans" w:cs="Open Sans"/>
                <w:color w:val="050505"/>
                <w:sz w:val="20"/>
                <w:szCs w:val="20"/>
                <w:bdr w:val="none" w:sz="0" w:space="0" w:color="auto"/>
                <w:vertAlign w:val="baseline"/>
              </w:rPr>
            </w:pPr>
          </w:p>
        </w:tc>
      </w:tr>
    </w:tbl>
    <w:p>
      <w:pPr>
        <w:rPr>
          <w:vanish/>
        </w:rPr>
      </w:pPr>
    </w:p>
    <w:tbl>
      <w:tblPr>
        <w:tblStyle w:val="skn-slo3sectionedu-secparlrColmn"/>
        <w:tblW w:w="0" w:type="auto"/>
        <w:tblCellSpacing w:w="0" w:type="dxa"/>
        <w:tblInd w:w="100" w:type="dxa"/>
        <w:tblLayout w:type="fixed"/>
        <w:tblCellMar>
          <w:top w:w="0" w:type="dxa"/>
          <w:left w:w="0" w:type="dxa"/>
          <w:bottom w:w="0" w:type="dxa"/>
          <w:right w:w="0" w:type="dxa"/>
        </w:tblCellMar>
        <w:tblLook w:val="05E0"/>
      </w:tblPr>
      <w:tblGrid>
        <w:gridCol w:w="290"/>
        <w:gridCol w:w="1093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90" w:type="dxa"/>
            <w:tcBorders>
              <w:left w:val="single" w:sz="8" w:space="0" w:color="C0C0C0"/>
            </w:tcBorders>
            <w:noWrap w:val="0"/>
            <w:tcMar>
              <w:top w:w="0" w:type="dxa"/>
              <w:left w:w="0" w:type="dxa"/>
              <w:bottom w:w="40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du-secparlrColmntimeline-svg"/>
                <w:rFonts w:ascii="Open Sans" w:eastAsia="Open Sans" w:hAnsi="Open Sans" w:cs="Open Sans"/>
                <w:color w:val="050505"/>
                <w:sz w:val="20"/>
                <w:szCs w:val="20"/>
                <w:bdr w:val="none" w:sz="0" w:space="0" w:color="auto"/>
                <w:vertAlign w:val="baseline"/>
              </w:rPr>
            </w:pPr>
            <w:r>
              <w:rPr>
                <w:rStyle w:val="skn-slo3sectionedu-secparlrColmntimeline-svg"/>
                <w:rFonts w:ascii="Open Sans" w:eastAsia="Open Sans" w:hAnsi="Open Sans" w:cs="Open Sans"/>
                <w:color w:val="050505"/>
                <w:sz w:val="20"/>
                <w:szCs w:val="20"/>
                <w:bdr w:val="none" w:sz="0" w:space="0" w:color="auto"/>
                <w:vertAlign w:val="baseline"/>
              </w:rPr>
              <w:drawing>
                <wp:anchor simplePos="0" relativeHeight="251664384" behindDoc="0" locked="0" layoutInCell="1" allowOverlap="1">
                  <wp:simplePos x="0" y="0"/>
                  <wp:positionH relativeFrom="column">
                    <wp:posOffset>-50800</wp:posOffset>
                  </wp:positionH>
                  <wp:positionV relativeFrom="paragraph">
                    <wp:posOffset>25400</wp:posOffset>
                  </wp:positionV>
                  <wp:extent cx="89410" cy="127540"/>
                  <wp:wrapNone/>
                  <wp:docPr id="10001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0"/>
                          </pic:cNvPicPr>
                        </pic:nvPicPr>
                        <pic:blipFill>
                          <a:blip xmlns:r="http://schemas.openxmlformats.org/officeDocument/2006/relationships" r:embed="rId7"/>
                          <a:stretch>
                            <a:fillRect/>
                          </a:stretch>
                        </pic:blipFill>
                        <pic:spPr>
                          <a:xfrm>
                            <a:off x="0" y="0"/>
                            <a:ext cx="89410" cy="127540"/>
                          </a:xfrm>
                          <a:prstGeom prst="rect">
                            <a:avLst/>
                          </a:prstGeom>
                        </pic:spPr>
                      </pic:pic>
                    </a:graphicData>
                  </a:graphic>
                </wp:anchor>
              </w:drawing>
            </w:r>
          </w:p>
        </w:tc>
        <w:tc>
          <w:tcPr>
            <w:tcW w:w="10930" w:type="dxa"/>
            <w:noWrap w:val="0"/>
            <w:tcMar>
              <w:top w:w="0" w:type="dxa"/>
              <w:left w:w="0" w:type="dxa"/>
              <w:bottom w:w="400" w:type="dxa"/>
              <w:right w:w="0" w:type="dxa"/>
            </w:tcMar>
            <w:vAlign w:val="top"/>
            <w:hideMark/>
          </w:tcPr>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8840"/>
              <w:gridCol w:w="100"/>
              <w:gridCol w:w="200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884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aps/>
                      <w:color w:val="050505"/>
                      <w:sz w:val="20"/>
                      <w:szCs w:val="20"/>
                    </w:rPr>
                    <w:t>12th Standard</w:t>
                  </w:r>
                  <w:r>
                    <w:rPr>
                      <w:rStyle w:val="skn-slo3edu-seccmn-title"/>
                      <w:rFonts w:ascii="Open Sans" w:eastAsia="Open Sans" w:hAnsi="Open Sans" w:cs="Open Sans"/>
                      <w:b/>
                      <w:bCs/>
                      <w:cap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200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p>
              </w:tc>
            </w:tr>
          </w:tbl>
          <w:p>
            <w:pPr>
              <w:rPr>
                <w:vanish/>
              </w:rPr>
            </w:pPr>
          </w:p>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6400"/>
              <w:gridCol w:w="100"/>
              <w:gridCol w:w="444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40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kn-slo3color-support"/>
                      <w:rFonts w:ascii="Open Sans" w:eastAsia="Open Sans" w:hAnsi="Open Sans" w:cs="Open Sans"/>
                      <w:sz w:val="20"/>
                      <w:szCs w:val="20"/>
                    </w:rPr>
                    <w:t>Government Pre-University College</w:t>
                  </w:r>
                  <w:r>
                    <w:rPr>
                      <w:rStyle w:val="skn-slo3txt-bold"/>
                      <w:rFonts w:ascii="Open Sans" w:eastAsia="Open Sans" w:hAnsi="Open Sans" w:cs="Open Sans"/>
                      <w:b/>
                      <w:bCs/>
                      <w:color w:val="AA81D5"/>
                      <w:sz w:val="20"/>
                      <w:szCs w:val="20"/>
                    </w:rPr>
                    <w:t xml:space="preserve">, </w:t>
                  </w:r>
                  <w:r>
                    <w:rPr>
                      <w:rStyle w:val="skn-slo3txt-capsCharacter"/>
                      <w:rFonts w:ascii="Open Sans" w:eastAsia="Open Sans" w:hAnsi="Open Sans" w:cs="Open Sans"/>
                      <w:caps/>
                      <w:color w:val="050505"/>
                      <w:sz w:val="20"/>
                      <w:szCs w:val="20"/>
                    </w:rPr>
                    <w:t>Karnataka</w:t>
                  </w:r>
                  <w:r>
                    <w:rPr>
                      <w:rStyle w:val="skn-slo3tbl-leftinner"/>
                      <w:rFonts w:ascii="Open Sans" w:eastAsia="Open Sans" w:hAnsi="Open Sans" w:cs="Open San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444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i/>
                      <w:iCs/>
                      <w:color w:val="050505"/>
                      <w:sz w:val="20"/>
                      <w:szCs w:val="20"/>
                    </w:rPr>
                    <w:t>March 2012</w:t>
                  </w:r>
                </w:p>
              </w:tc>
            </w:tr>
          </w:tbl>
          <w:p>
            <w:pPr>
              <w:rPr>
                <w:rStyle w:val="skn-slo3sectionedu-secparlrColmnsinglecolumn"/>
                <w:rFonts w:ascii="Open Sans" w:eastAsia="Open Sans" w:hAnsi="Open Sans" w:cs="Open Sans"/>
                <w:color w:val="050505"/>
                <w:sz w:val="20"/>
                <w:szCs w:val="20"/>
                <w:bdr w:val="none" w:sz="0" w:space="0" w:color="auto"/>
                <w:vertAlign w:val="baseline"/>
              </w:rPr>
            </w:pPr>
          </w:p>
        </w:tc>
      </w:tr>
    </w:tbl>
    <w:p>
      <w:pPr>
        <w:rPr>
          <w:vanish/>
        </w:rPr>
      </w:pPr>
    </w:p>
    <w:tbl>
      <w:tblPr>
        <w:tblStyle w:val="skn-slo3sectionedu-secparlrColmn"/>
        <w:tblW w:w="0" w:type="auto"/>
        <w:tblCellSpacing w:w="0" w:type="dxa"/>
        <w:tblInd w:w="100" w:type="dxa"/>
        <w:tblLayout w:type="fixed"/>
        <w:tblCellMar>
          <w:top w:w="0" w:type="dxa"/>
          <w:left w:w="0" w:type="dxa"/>
          <w:bottom w:w="0" w:type="dxa"/>
          <w:right w:w="0" w:type="dxa"/>
        </w:tblCellMar>
        <w:tblLook w:val="05E0"/>
      </w:tblPr>
      <w:tblGrid>
        <w:gridCol w:w="280"/>
        <w:gridCol w:w="1094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80" w:type="dxa"/>
            <w:noWrap w:val="0"/>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du-secparlrColmnparagraphnth-last-child1timeline-svg"/>
                <w:rFonts w:ascii="Open Sans" w:eastAsia="Open Sans" w:hAnsi="Open Sans" w:cs="Open Sans"/>
                <w:color w:val="050505"/>
                <w:sz w:val="20"/>
                <w:szCs w:val="20"/>
                <w:bdr w:val="none" w:sz="0" w:space="0" w:color="auto"/>
                <w:vertAlign w:val="baseline"/>
              </w:rPr>
            </w:pPr>
            <w:r>
              <w:rPr>
                <w:rStyle w:val="skn-slo3sectionedu-secparlrColmnparagraphnth-last-child1timeline-svg"/>
                <w:rFonts w:ascii="Open Sans" w:eastAsia="Open Sans" w:hAnsi="Open Sans" w:cs="Open Sans"/>
                <w:color w:val="050505"/>
                <w:sz w:val="20"/>
                <w:szCs w:val="20"/>
                <w:bdr w:val="none" w:sz="0" w:space="0" w:color="auto"/>
                <w:vertAlign w:val="baseline"/>
              </w:rPr>
              <w:drawing>
                <wp:anchor simplePos="0" relativeHeight="251665408" behindDoc="0" locked="0" layoutInCell="1" allowOverlap="1">
                  <wp:simplePos x="0" y="0"/>
                  <wp:positionH relativeFrom="column">
                    <wp:posOffset>-50800</wp:posOffset>
                  </wp:positionH>
                  <wp:positionV relativeFrom="paragraph">
                    <wp:posOffset>25400</wp:posOffset>
                  </wp:positionV>
                  <wp:extent cx="89410" cy="127540"/>
                  <wp:wrapNone/>
                  <wp:docPr id="10001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0"/>
                          </pic:cNvPicPr>
                        </pic:nvPicPr>
                        <pic:blipFill>
                          <a:blip xmlns:r="http://schemas.openxmlformats.org/officeDocument/2006/relationships" r:embed="rId7"/>
                          <a:stretch>
                            <a:fillRect/>
                          </a:stretch>
                        </pic:blipFill>
                        <pic:spPr>
                          <a:xfrm>
                            <a:off x="0" y="0"/>
                            <a:ext cx="89410" cy="127540"/>
                          </a:xfrm>
                          <a:prstGeom prst="rect">
                            <a:avLst/>
                          </a:prstGeom>
                        </pic:spPr>
                      </pic:pic>
                    </a:graphicData>
                  </a:graphic>
                </wp:anchor>
              </w:drawing>
            </w:r>
          </w:p>
        </w:tc>
        <w:tc>
          <w:tcPr>
            <w:tcW w:w="10940" w:type="dxa"/>
            <w:noWrap w:val="0"/>
            <w:tcMar>
              <w:top w:w="0" w:type="dxa"/>
              <w:left w:w="0" w:type="dxa"/>
              <w:bottom w:w="0" w:type="dxa"/>
              <w:right w:w="0" w:type="dxa"/>
            </w:tcMar>
            <w:vAlign w:val="top"/>
            <w:hideMark/>
          </w:tcPr>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8840"/>
              <w:gridCol w:w="100"/>
              <w:gridCol w:w="200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884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aps/>
                      <w:color w:val="050505"/>
                      <w:sz w:val="20"/>
                      <w:szCs w:val="20"/>
                    </w:rPr>
                    <w:t>Graduation</w:t>
                  </w:r>
                  <w:r>
                    <w:rPr>
                      <w:rStyle w:val="skn-slo3edu-seccmn-title"/>
                      <w:rFonts w:ascii="Open Sans" w:eastAsia="Open Sans" w:hAnsi="Open Sans" w:cs="Open Sans"/>
                      <w:b/>
                      <w:bCs/>
                      <w:caps/>
                      <w:color w:val="050505"/>
                      <w:sz w:val="20"/>
                      <w:szCs w:val="20"/>
                    </w:rPr>
                    <w:t xml:space="preserve"> </w:t>
                  </w:r>
                  <w:r>
                    <w:rPr>
                      <w:rStyle w:val="span"/>
                      <w:rFonts w:ascii="Open Sans" w:eastAsia="Open Sans" w:hAnsi="Open Sans" w:cs="Open Sans"/>
                      <w:b/>
                      <w:bCs/>
                      <w:caps/>
                      <w:color w:val="050505"/>
                      <w:sz w:val="20"/>
                      <w:szCs w:val="20"/>
                    </w:rPr>
                    <w:t>in</w:t>
                  </w:r>
                  <w:r>
                    <w:rPr>
                      <w:rStyle w:val="skn-slo3edu-seccmn-title"/>
                      <w:rFonts w:ascii="Open Sans" w:eastAsia="Open Sans" w:hAnsi="Open Sans" w:cs="Open Sans"/>
                      <w:b/>
                      <w:bCs/>
                      <w:caps/>
                      <w:color w:val="050505"/>
                      <w:sz w:val="20"/>
                      <w:szCs w:val="20"/>
                    </w:rPr>
                    <w:t xml:space="preserve"> </w:t>
                  </w:r>
                  <w:r>
                    <w:rPr>
                      <w:rStyle w:val="span"/>
                      <w:rFonts w:ascii="Open Sans" w:eastAsia="Open Sans" w:hAnsi="Open Sans" w:cs="Open Sans"/>
                      <w:b/>
                      <w:bCs/>
                      <w:caps/>
                      <w:color w:val="050505"/>
                      <w:sz w:val="20"/>
                      <w:szCs w:val="20"/>
                    </w:rPr>
                    <w:t>Nursing and Surgical Patient Care</w:t>
                  </w:r>
                  <w:r>
                    <w:rPr>
                      <w:rStyle w:val="skn-slo3edu-seccmn-title"/>
                      <w:rFonts w:ascii="Open Sans" w:eastAsia="Open Sans" w:hAnsi="Open Sans" w:cs="Open Sans"/>
                      <w:b/>
                      <w:bCs/>
                      <w:cap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200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p>
              </w:tc>
            </w:tr>
          </w:tbl>
          <w:p>
            <w:pPr>
              <w:rPr>
                <w:vanish/>
              </w:rPr>
            </w:pPr>
          </w:p>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6400"/>
              <w:gridCol w:w="100"/>
              <w:gridCol w:w="444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40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kn-slo3color-support"/>
                      <w:rFonts w:ascii="Open Sans" w:eastAsia="Open Sans" w:hAnsi="Open Sans" w:cs="Open Sans"/>
                      <w:sz w:val="20"/>
                      <w:szCs w:val="20"/>
                    </w:rPr>
                    <w:t>Rajiv Gandhi University of Health Sciences</w:t>
                  </w:r>
                  <w:r>
                    <w:rPr>
                      <w:rStyle w:val="skn-slo3txt-bold"/>
                      <w:rFonts w:ascii="Open Sans" w:eastAsia="Open Sans" w:hAnsi="Open Sans" w:cs="Open Sans"/>
                      <w:b/>
                      <w:bCs/>
                      <w:color w:val="AA81D5"/>
                      <w:sz w:val="20"/>
                      <w:szCs w:val="20"/>
                    </w:rPr>
                    <w:t xml:space="preserve">, </w:t>
                  </w:r>
                  <w:r>
                    <w:rPr>
                      <w:rStyle w:val="skn-slo3txt-capsCharacter"/>
                      <w:rFonts w:ascii="Open Sans" w:eastAsia="Open Sans" w:hAnsi="Open Sans" w:cs="Open Sans"/>
                      <w:caps/>
                      <w:color w:val="050505"/>
                      <w:sz w:val="20"/>
                      <w:szCs w:val="20"/>
                    </w:rPr>
                    <w:t>Karnataka</w:t>
                  </w:r>
                  <w:r>
                    <w:rPr>
                      <w:rStyle w:val="skn-slo3tbl-leftinner"/>
                      <w:rFonts w:ascii="Open Sans" w:eastAsia="Open Sans" w:hAnsi="Open Sans" w:cs="Open San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444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i/>
                      <w:iCs/>
                      <w:color w:val="050505"/>
                      <w:sz w:val="20"/>
                      <w:szCs w:val="20"/>
                    </w:rPr>
                    <w:t>May 2015</w:t>
                  </w:r>
                </w:p>
              </w:tc>
            </w:tr>
          </w:tbl>
          <w:p>
            <w:pPr>
              <w:rPr>
                <w:rStyle w:val="skn-slo3sectionedu-secparlrColmnparagraphnth-last-child1singlecolumn"/>
                <w:rFonts w:ascii="Open Sans" w:eastAsia="Open Sans" w:hAnsi="Open Sans" w:cs="Open Sans"/>
                <w:color w:val="050505"/>
                <w:sz w:val="20"/>
                <w:szCs w:val="20"/>
                <w:bdr w:val="none" w:sz="0" w:space="0" w:color="auto"/>
                <w:vertAlign w:val="baseline"/>
              </w:rPr>
            </w:pPr>
          </w:p>
        </w:tc>
      </w:tr>
    </w:tbl>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AA81D5"/>
          <w:bdr w:val="none" w:sz="0" w:space="0" w:color="auto"/>
          <w:vertAlign w:val="baseline"/>
        </w:rPr>
      </w:pPr>
      <w:r>
        <w:rPr>
          <w:rFonts w:ascii="Open Sans" w:eastAsia="Open Sans" w:hAnsi="Open Sans" w:cs="Open Sans"/>
          <w:b/>
          <w:bCs/>
          <w:caps/>
          <w:bdr w:val="none" w:sz="0" w:space="0" w:color="auto"/>
          <w:vertAlign w:val="baseline"/>
        </w:rPr>
        <w:t>Certifications</w:t>
      </w:r>
    </w:p>
    <w:tbl>
      <w:tblPr>
        <w:tblW w:w="10860" w:type="dxa"/>
        <w:jc w:val="left"/>
        <w:tblInd w:w="460" w:type="dxa"/>
        <w:tblCellMar>
          <w:left w:w="108" w:type="dxa"/>
          <w:right w:w="108" w:type="dxa"/>
        </w:tblCellMar>
      </w:tblPr>
      <w:tblGrid>
        <w:gridCol w:w="5040"/>
        <w:gridCol w:w="781"/>
        <w:gridCol w:w="5040"/>
      </w:tblGrid>
      <w:tr>
        <w:tblPrEx>
          <w:tblW w:w="10860" w:type="dxa"/>
          <w:jc w:val="left"/>
          <w:tblInd w:w="460" w:type="dxa"/>
          <w:tblCellMar>
            <w:left w:w="108" w:type="dxa"/>
            <w:right w:w="108" w:type="dxa"/>
          </w:tblCellMar>
        </w:tblPrEx>
        <w:trPr>
          <w:jc w:val="left"/>
        </w:trPr>
        <w:tc>
          <w:tcPr>
            <w:tcW w:w="5130" w:type="dxa"/>
            <w:tcMar>
              <w:left w:w="0" w:type="dxa"/>
            </w:tcMar>
          </w:tcPr>
          <w:p>
            <w:pPr>
              <w:pStyle w:val="p"/>
              <w:numPr>
                <w:ilvl w:val="0"/>
                <w:numId w:val="13"/>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Operation Theatre Assistant Certification – NSDC</w:t>
            </w:r>
          </w:p>
        </w:tc>
        <w:tc>
          <w:tcPr>
            <w:tcW w:w="600" w:type="dxa"/>
            <w:tcMar>
              <w:bottom w:w="100" w:type="dxa"/>
            </w:tcMar>
          </w:tcPr>
          <w:p/>
        </w:tc>
        <w:tc>
          <w:tcPr>
            <w:tcW w:w="5130" w:type="dxa"/>
            <w:tcMar>
              <w:left w:w="0" w:type="dxa"/>
            </w:tcMar>
          </w:tcPr>
          <w:p>
            <w:pPr>
              <w:pStyle w:val="p"/>
              <w:numPr>
                <w:ilvl w:val="0"/>
                <w:numId w:val="14"/>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Hospital Infection Control Training – Indian Red Cross Society</w:t>
            </w:r>
          </w:p>
        </w:tc>
      </w:tr>
      <w:tr>
        <w:tblPrEx>
          <w:tblW w:w="10860" w:type="dxa"/>
          <w:jc w:val="left"/>
          <w:tblInd w:w="460" w:type="dxa"/>
          <w:tblCellMar>
            <w:left w:w="108" w:type="dxa"/>
            <w:right w:w="108" w:type="dxa"/>
          </w:tblCellMar>
        </w:tblPrEx>
        <w:trPr>
          <w:jc w:val="left"/>
        </w:trPr>
        <w:tc>
          <w:tcPr>
            <w:tcW w:w="5130" w:type="dxa"/>
            <w:tcMar>
              <w:left w:w="0" w:type="dxa"/>
              <w:bottom w:w="0" w:type="dxa"/>
            </w:tcMar>
          </w:tcPr>
          <w:p>
            <w:pPr>
              <w:pStyle w:val="p"/>
              <w:numPr>
                <w:ilvl w:val="0"/>
                <w:numId w:val="15"/>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State Nursing Assistant Registration – Karnataka</w:t>
            </w:r>
          </w:p>
        </w:tc>
        <w:tc>
          <w:tcPr>
            <w:tcW w:w="600" w:type="dxa"/>
            <w:tcMar>
              <w:bottom w:w="0" w:type="dxa"/>
            </w:tcMar>
          </w:tcPr>
          <w:p/>
        </w:tc>
        <w:tc>
          <w:tcPr>
            <w:tcW w:w="5130" w:type="dxa"/>
            <w:tcMar>
              <w:left w:w="0" w:type="dxa"/>
              <w:bottom w:w="0" w:type="dxa"/>
            </w:tcMar>
          </w:tcPr>
          <w:p>
            <w:pPr>
              <w:pStyle w:val="p"/>
              <w:numPr>
                <w:ilvl w:val="0"/>
                <w:numId w:val="16"/>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CPR and Basic Life Support Certification</w:t>
            </w:r>
          </w:p>
        </w:tc>
      </w:tr>
    </w:tbl>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AA81D5"/>
          <w:bdr w:val="none" w:sz="0" w:space="0" w:color="auto"/>
          <w:vertAlign w:val="baseline"/>
        </w:rPr>
      </w:pPr>
      <w:r>
        <w:rPr>
          <w:rFonts w:ascii="Open Sans" w:eastAsia="Open Sans" w:hAnsi="Open Sans" w:cs="Open Sans"/>
          <w:b/>
          <w:bCs/>
          <w:caps/>
          <w:bdr w:val="none" w:sz="0" w:space="0" w:color="auto"/>
          <w:vertAlign w:val="baseline"/>
        </w:rPr>
        <w:t>Projects</w:t>
      </w:r>
    </w:p>
    <w:p>
      <w:pPr>
        <w:pStyle w:val="skn-slo3singlecolumn"/>
        <w:pBdr>
          <w:top w:val="none" w:sz="0" w:space="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Operation Theatre Sterilization Project focused on improving compliance with surgical hygiene standards. Postoperative Care Monitoring Project supporting early recovery and complication prevention.</w:t>
      </w:r>
    </w:p>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AA81D5"/>
          <w:bdr w:val="none" w:sz="0" w:space="0" w:color="auto"/>
          <w:vertAlign w:val="baseline"/>
        </w:rPr>
      </w:pPr>
      <w:r>
        <w:rPr>
          <w:rFonts w:ascii="Open Sans" w:eastAsia="Open Sans" w:hAnsi="Open Sans" w:cs="Open Sans"/>
          <w:b/>
          <w:bCs/>
          <w:caps/>
          <w:bdr w:val="none" w:sz="0" w:space="0" w:color="auto"/>
          <w:vertAlign w:val="baseline"/>
        </w:rPr>
        <w:t>Industry</w:t>
      </w:r>
    </w:p>
    <w:p>
      <w:pPr>
        <w:pStyle w:val="skn-slo3singlecolumn"/>
        <w:pBdr>
          <w:top w:val="none" w:sz="0" w:space="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Healthcare and Surgical Services</w:t>
      </w:r>
    </w:p>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AA81D5"/>
          <w:bdr w:val="none" w:sz="0" w:space="0" w:color="auto"/>
          <w:vertAlign w:val="baseline"/>
        </w:rPr>
      </w:pPr>
      <w:r>
        <w:rPr>
          <w:rFonts w:ascii="Open Sans" w:eastAsia="Open Sans" w:hAnsi="Open Sans" w:cs="Open Sans"/>
          <w:b/>
          <w:bCs/>
          <w:caps/>
          <w:bdr w:val="none" w:sz="0" w:space="0" w:color="auto"/>
          <w:vertAlign w:val="baseline"/>
        </w:rPr>
        <w:t>Accomplishments</w:t>
      </w:r>
    </w:p>
    <w:p>
      <w:pPr>
        <w:pStyle w:val="skn-slo3ulliParagraph"/>
        <w:numPr>
          <w:ilvl w:val="0"/>
          <w:numId w:val="17"/>
        </w:numPr>
        <w:pBdr>
          <w:top w:val="none" w:sz="0" w:space="0" w:color="auto"/>
          <w:left w:val="none" w:sz="0" w:space="0" w:color="auto"/>
          <w:bottom w:val="none" w:sz="0" w:space="0" w:color="auto"/>
          <w:right w:val="none" w:sz="0" w:space="0" w:color="auto"/>
        </w:pBdr>
        <w:spacing w:before="0" w:after="100" w:line="280" w:lineRule="atLeast"/>
        <w:ind w:left="400" w:right="0" w:hanging="232"/>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Recognized at Apollo Hospitals for maintaining high operation theatre hygiene standards.</w:t>
      </w:r>
    </w:p>
    <w:p>
      <w:pPr>
        <w:pStyle w:val="skn-slo3ulliParagraph"/>
        <w:numPr>
          <w:ilvl w:val="0"/>
          <w:numId w:val="17"/>
        </w:numPr>
        <w:spacing w:after="100" w:line="280" w:lineRule="atLeast"/>
        <w:ind w:left="400" w:right="0" w:hanging="232"/>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Appreciated at Manipal Hospital for reliable surgical assistance during high-volume surgery schedules.</w:t>
      </w:r>
    </w:p>
    <w:p>
      <w:pPr>
        <w:pStyle w:val="skn-slo3ullinth-last-child1Paragraph"/>
        <w:numPr>
          <w:ilvl w:val="0"/>
          <w:numId w:val="17"/>
        </w:numPr>
        <w:spacing w:after="0" w:line="280" w:lineRule="atLeast"/>
        <w:ind w:left="400" w:right="0" w:hanging="232"/>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Commended for teamwork and patient safety adherence during emergency surgical procedures.</w:t>
      </w:r>
    </w:p>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AA81D5"/>
          <w:bdr w:val="none" w:sz="0" w:space="0" w:color="auto"/>
          <w:vertAlign w:val="baseline"/>
        </w:rPr>
      </w:pPr>
      <w:r>
        <w:rPr>
          <w:rFonts w:ascii="Open Sans" w:eastAsia="Open Sans" w:hAnsi="Open Sans" w:cs="Open Sans"/>
          <w:b/>
          <w:bCs/>
          <w:caps/>
          <w:bdr w:val="none" w:sz="0" w:space="0" w:color="auto"/>
          <w:vertAlign w:val="baseline"/>
        </w:rPr>
        <w:t>References</w:t>
      </w:r>
    </w:p>
    <w:tbl>
      <w:tblPr>
        <w:tblStyle w:val="skn-slo3sectionreference-secrefparatable"/>
        <w:tblW w:w="0" w:type="auto"/>
        <w:tblCellSpacing w:w="0" w:type="dxa"/>
        <w:tblInd w:w="0" w:type="dxa"/>
        <w:tblLayout w:type="fixed"/>
        <w:tblCellMar>
          <w:top w:w="0" w:type="dxa"/>
          <w:left w:w="0" w:type="dxa"/>
          <w:bottom w:w="0" w:type="dxa"/>
          <w:right w:w="0" w:type="dxa"/>
        </w:tblCellMar>
        <w:tblLook w:val="05E0"/>
      </w:tblPr>
      <w:tblGrid>
        <w:gridCol w:w="5360"/>
        <w:gridCol w:w="600"/>
        <w:gridCol w:w="536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36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tLeas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References available upon request</w:t>
            </w:r>
            <w:r>
              <w:rPr>
                <w:color w:val="FFFFFF"/>
                <w:sz w:val="2"/>
              </w:rPr>
              <w:t>.</w:t>
            </w:r>
          </w:p>
        </w:tc>
        <w:tc>
          <w:tcPr>
            <w:tcW w:w="600" w:type="dxa"/>
            <w:tcMar>
              <w:top w:w="0" w:type="dxa"/>
              <w:left w:w="0" w:type="dxa"/>
              <w:bottom w:w="0" w:type="dxa"/>
              <w:right w:w="0" w:type="dxa"/>
            </w:tcMar>
            <w:vAlign w:val="top"/>
            <w:hideMark/>
          </w:tcPr>
          <w:p/>
        </w:tc>
        <w:tc>
          <w:tcPr>
            <w:tcW w:w="5360" w:type="dxa"/>
            <w:tcMar>
              <w:top w:w="0" w:type="dxa"/>
              <w:left w:w="0" w:type="dxa"/>
              <w:bottom w:w="0" w:type="dxa"/>
              <w:right w:w="0" w:type="dxa"/>
            </w:tcMar>
            <w:vAlign w:val="top"/>
            <w:hideMark/>
          </w:tcPr>
          <w:p/>
        </w:tc>
      </w:tr>
    </w:tbl>
    <w:p>
      <w:pPr>
        <w:rPr>
          <w:rFonts w:ascii="Open Sans" w:eastAsia="Open Sans" w:hAnsi="Open Sans" w:cs="Open Sans"/>
          <w:b/>
          <w:bCs/>
          <w:caps/>
          <w:bdr w:val="none" w:sz="0" w:space="0" w:color="auto"/>
          <w:vertAlign w:val="baseline"/>
        </w:rPr>
      </w:pPr>
    </w:p>
    <w:sectPr>
      <w:pgSz w:w="12240" w:h="15840"/>
      <w:pgMar w:top="460" w:right="460" w:bottom="460" w:left="460" w:header="720" w:footer="72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467658BA-E425-42AD-A062-3BF0E7AA394B}"/>
    <w:embedBold r:id="rId2" w:fontKey="{362EA046-1428-49D4-9CDC-793B7F626CB1}"/>
    <w:embedItalic r:id="rId3" w:fontKey="{E41F9BA1-7EA6-428E-AD66-CFEDFDBF005C}"/>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Wingdings" w:hAnsi="Wingdings"/>
        <w:color w:val="AA81D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Wingdings" w:hAnsi="Wingdings"/>
        <w:color w:val="AA81D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Wingdings" w:hAnsi="Wingdings"/>
        <w:color w:val="AA81D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Wingdings" w:hAnsi="Wingdings"/>
        <w:color w:val="AA81D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Wingdings" w:hAnsi="Wingdings"/>
        <w:color w:val="AA81D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Wingdings" w:hAnsi="Wingdings"/>
        <w:color w:val="AA81D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Wingdings" w:hAnsi="Wingdings"/>
        <w:color w:val="AA81D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Wingdings" w:hAnsi="Wingdings"/>
        <w:color w:val="AA81D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Wingdings" w:hAnsi="Wingdings"/>
        <w:color w:val="AA81D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Wingdings" w:hAnsi="Wingdings"/>
        <w:color w:val="AA81D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Wingdings" w:hAnsi="Wingdings"/>
        <w:color w:val="AA81D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Wingdings" w:hAnsi="Wingdings"/>
        <w:color w:val="AA81D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Wingdings" w:hAnsi="Wingdings"/>
        <w:color w:val="AA81D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Wingdings" w:hAnsi="Wingdings"/>
        <w:color w:val="AA81D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Wingdings" w:hAnsi="Wingdings"/>
        <w:color w:val="AA81D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Wingdings" w:hAnsi="Wingdings"/>
        <w:color w:val="AA81D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6">
    <w:nsid w:val="00000011"/>
    <w:multiLevelType w:val="hybridMultilevel"/>
    <w:tmpl w:val="00000011"/>
    <w:lvl w:ilvl="0">
      <w:start w:val="1"/>
      <w:numFmt w:val="bullet"/>
      <w:lvlText w:val=""/>
      <w:lvlJc w:val="left"/>
      <w:pPr>
        <w:ind w:left="720" w:hanging="360"/>
      </w:pPr>
      <w:rPr>
        <w:rFonts w:ascii="Wingdings" w:hAnsi="Wingdings"/>
        <w:color w:val="AA81D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o3pagesize">
    <w:name w:val="skn-slo3_pagesize"/>
    <w:basedOn w:val="Normal"/>
  </w:style>
  <w:style w:type="character" w:customStyle="1" w:styleId="skn-slo3top-sectionleft-box">
    <w:name w:val="skn-slo3_top-section_left-box"/>
    <w:basedOn w:val="DefaultParagraphFont"/>
  </w:style>
  <w:style w:type="character" w:customStyle="1" w:styleId="skn-slo3top-sectionright-box">
    <w:name w:val="skn-slo3_top-section_right-box"/>
    <w:basedOn w:val="DefaultParagraphFont"/>
  </w:style>
  <w:style w:type="paragraph" w:customStyle="1" w:styleId="skn-slo3firstsection">
    <w:name w:val="skn-slo3_firstsection"/>
    <w:basedOn w:val="Normal"/>
  </w:style>
  <w:style w:type="paragraph" w:customStyle="1" w:styleId="skn-slo3firstparagraph">
    <w:name w:val="skn-slo3_firstparagraph"/>
    <w:basedOn w:val="Normal"/>
  </w:style>
  <w:style w:type="paragraph" w:customStyle="1" w:styleId="skn-slo3txt-caps">
    <w:name w:val="skn-slo3_txt-caps"/>
    <w:basedOn w:val="Normal"/>
    <w:rPr>
      <w:caps/>
    </w:rPr>
  </w:style>
  <w:style w:type="character" w:customStyle="1" w:styleId="span">
    <w:name w:val="span"/>
    <w:basedOn w:val="DefaultParagraphFont"/>
    <w:rPr>
      <w:bdr w:val="none" w:sz="0" w:space="0" w:color="auto"/>
      <w:vertAlign w:val="baseline"/>
    </w:rPr>
  </w:style>
  <w:style w:type="character" w:customStyle="1" w:styleId="skn-slo3txt-capsCharacter">
    <w:name w:val="skn-slo3_txt-caps Character"/>
    <w:basedOn w:val="DefaultParagraphFont"/>
    <w:rPr>
      <w:caps/>
    </w:rPr>
  </w:style>
  <w:style w:type="paragraph" w:customStyle="1" w:styleId="skn-slo3cntc-sec">
    <w:name w:val="skn-slo3_cntc-sec"/>
    <w:basedOn w:val="Normal"/>
  </w:style>
  <w:style w:type="paragraph" w:customStyle="1" w:styleId="skn-slo3right-boxcntc-secparagraph">
    <w:name w:val="skn-slo3_right-box_cntc-sec_paragraph"/>
    <w:basedOn w:val="Normal"/>
    <w:pPr>
      <w:spacing w:line="400" w:lineRule="atLeast"/>
    </w:pPr>
  </w:style>
  <w:style w:type="paragraph" w:customStyle="1" w:styleId="skn-slo3address">
    <w:name w:val="skn-slo3_address"/>
    <w:basedOn w:val="Normal"/>
  </w:style>
  <w:style w:type="character" w:customStyle="1" w:styleId="skn-slo3ulli">
    <w:name w:val="skn-slo3_ul_li"/>
    <w:basedOn w:val="DefaultParagraphFont"/>
  </w:style>
  <w:style w:type="character" w:customStyle="1" w:styleId="spacebeforebulletcntc">
    <w:name w:val="spacebefore_bullet_cntc"/>
    <w:basedOn w:val="DefaultParagraphFont"/>
    <w:rPr>
      <w:rFonts w:ascii="Arial" w:eastAsia="Arial" w:hAnsi="Arial" w:cs="Arial"/>
      <w:sz w:val="20"/>
      <w:szCs w:val="20"/>
    </w:rPr>
  </w:style>
  <w:style w:type="character" w:customStyle="1" w:styleId="bluebullet">
    <w:name w:val="bluebullet"/>
    <w:basedOn w:val="DefaultParagraphFont"/>
    <w:rPr>
      <w:rFonts w:ascii="Arial" w:eastAsia="Arial" w:hAnsi="Arial" w:cs="Arial"/>
      <w:sz w:val="20"/>
      <w:szCs w:val="20"/>
    </w:rPr>
  </w:style>
  <w:style w:type="character" w:customStyle="1" w:styleId="skn-slo3spanempty">
    <w:name w:val="skn-slo3_span_empty"/>
    <w:basedOn w:val="DefaultParagraphFont"/>
    <w:rPr>
      <w:vanish/>
    </w:rPr>
  </w:style>
  <w:style w:type="character" w:customStyle="1" w:styleId="skn-slo3ullinth-last-child1">
    <w:name w:val="skn-slo3_ul_li_nth-last-child(1)"/>
    <w:basedOn w:val="DefaultParagraphFont"/>
  </w:style>
  <w:style w:type="character" w:customStyle="1" w:styleId="skn-slo3addressCharacter">
    <w:name w:val="skn-slo3_address Character"/>
    <w:basedOn w:val="DefaultParagraphFont"/>
  </w:style>
  <w:style w:type="table" w:customStyle="1" w:styleId="skn-slo3top-section">
    <w:name w:val="skn-slo3_top-section"/>
    <w:basedOn w:val="TableNormal"/>
    <w:tbl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3top-sectionparent-containersectionnth-child1">
    <w:name w:val="skn-slo3_top-section + parent-container_section_nth-child(1)"/>
    <w:basedOn w:val="Normal"/>
  </w:style>
  <w:style w:type="paragraph" w:customStyle="1" w:styleId="skn-slo3heading">
    <w:name w:val="skn-slo3_heading"/>
    <w:basedOn w:val="Normal"/>
    <w:rPr>
      <w:b/>
      <w:bCs/>
      <w:caps/>
    </w:rPr>
  </w:style>
  <w:style w:type="paragraph" w:customStyle="1" w:styleId="skn-slo3section-title">
    <w:name w:val="skn-slo3_section-title"/>
    <w:basedOn w:val="Normal"/>
    <w:pPr>
      <w:spacing w:line="340" w:lineRule="atLeast"/>
    </w:pPr>
    <w:rPr>
      <w:color w:val="AA81D5"/>
      <w:sz w:val="24"/>
      <w:szCs w:val="24"/>
    </w:rPr>
  </w:style>
  <w:style w:type="paragraph" w:customStyle="1" w:styleId="skn-slo3singlecolumn">
    <w:name w:val="skn-slo3_singlecolumn"/>
    <w:basedOn w:val="Normal"/>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3cmn-sec">
    <w:name w:val="skn-slo3_cmn-sec"/>
    <w:basedOn w:val="Normal"/>
  </w:style>
  <w:style w:type="paragraph" w:customStyle="1" w:styleId="skn-slo3cmn-secheading">
    <w:name w:val="skn-slo3_cmn-sec_heading"/>
    <w:basedOn w:val="Normal"/>
  </w:style>
  <w:style w:type="paragraph" w:customStyle="1" w:styleId="skn-slo3cmn-secparagraph">
    <w:name w:val="skn-slo3_cmn-sec_paragraph"/>
    <w:basedOn w:val="Normal"/>
    <w:pPr>
      <w:pBdr>
        <w:left w:val="none" w:sz="0" w:space="18" w:color="auto"/>
      </w:pBdr>
      <w:spacing w:line="300" w:lineRule="atLeast"/>
    </w:pPr>
    <w:rPr>
      <w:sz w:val="20"/>
      <w:szCs w:val="20"/>
    </w:rPr>
  </w:style>
  <w:style w:type="paragraph" w:customStyle="1" w:styleId="skn-slo3ullinth-last-child1Paragraph">
    <w:name w:val="skn-slo3_ul_li_nth-last-child(1) Paragraph"/>
    <w:basedOn w:val="Normal"/>
  </w:style>
  <w:style w:type="character" w:customStyle="1" w:styleId="pCharacter">
    <w:name w:val="p Character"/>
    <w:basedOn w:val="DefaultParagraphFont"/>
    <w:rPr>
      <w:bdr w:val="none" w:sz="0" w:space="0" w:color="auto"/>
      <w:vertAlign w:val="baseline"/>
    </w:rPr>
  </w:style>
  <w:style w:type="paragraph" w:customStyle="1" w:styleId="skn-slo3cmn-secparagraphnth-last-child2">
    <w:name w:val="skn-slo3_cmn-sec_paragraph_nth-last-child(2)"/>
    <w:basedOn w:val="Normal"/>
  </w:style>
  <w:style w:type="paragraph" w:customStyle="1" w:styleId="skn-slo3cmn-secparagraphnth-last-child1">
    <w:name w:val="skn-slo3_cmn-sec_paragraph_nth-last-child(1)"/>
    <w:basedOn w:val="Normal"/>
  </w:style>
  <w:style w:type="paragraph" w:customStyle="1" w:styleId="skn-slo3section">
    <w:name w:val="skn-slo3_section"/>
    <w:basedOn w:val="Normal"/>
  </w:style>
  <w:style w:type="character" w:customStyle="1" w:styleId="skn-slo3sectionexpr-secparlrColmntimeline-svg">
    <w:name w:val="skn-slo3_section_expr-sec_parlrColmn_timeline-svg"/>
    <w:basedOn w:val="DefaultParagraphFont"/>
  </w:style>
  <w:style w:type="character" w:customStyle="1" w:styleId="skn-slo3sectionexpr-secparlrColmnsinglecolumn">
    <w:name w:val="skn-slo3_section_expr-sec_parlrColmn_singlecolumn"/>
    <w:basedOn w:val="DefaultParagraphFont"/>
  </w:style>
  <w:style w:type="paragraph" w:customStyle="1" w:styleId="skn-slo3disp-block">
    <w:name w:val="skn-slo3_disp-block"/>
    <w:basedOn w:val="Normal"/>
  </w:style>
  <w:style w:type="character" w:customStyle="1" w:styleId="spacebeforecomp">
    <w:name w:val="space_before_comp"/>
    <w:basedOn w:val="DefaultParagraphFont"/>
    <w:rPr>
      <w:rFonts w:ascii="Arial" w:eastAsia="Arial" w:hAnsi="Arial" w:cs="Arial"/>
      <w:sz w:val="20"/>
      <w:szCs w:val="20"/>
    </w:rPr>
  </w:style>
  <w:style w:type="character" w:customStyle="1" w:styleId="skn-slo3color-support">
    <w:name w:val="skn-slo3_color-support"/>
    <w:basedOn w:val="DefaultParagraphFont"/>
    <w:rPr>
      <w:color w:val="AA81D5"/>
    </w:rPr>
  </w:style>
  <w:style w:type="character" w:customStyle="1" w:styleId="skn-slo3sectionexpr-sectbl-uppertbl-leftinner">
    <w:name w:val="skn-slo3_section_expr-sec_tbl-upper_tbl-leftinner"/>
    <w:basedOn w:val="DefaultParagraphFont"/>
  </w:style>
  <w:style w:type="character" w:customStyle="1" w:styleId="singlecolumnspanpaddedlinenth-child1">
    <w:name w:val="singlecolumn_span_paddedline_nth-child(1)"/>
    <w:basedOn w:val="DefaultParagraphFont"/>
  </w:style>
  <w:style w:type="character" w:customStyle="1" w:styleId="skn-slo3sectionexpr-sectbl-upperpaddingcell">
    <w:name w:val="skn-slo3_section_expr-sec_tbl-upper_paddingcell"/>
    <w:basedOn w:val="DefaultParagraphFont"/>
  </w:style>
  <w:style w:type="character" w:customStyle="1" w:styleId="skn-slo3sectionexpr-sectbl-uppertbl-inner">
    <w:name w:val="skn-slo3_section_expr-sec_tbl-upper_tbl-inner"/>
    <w:basedOn w:val="DefaultParagraphFont"/>
  </w:style>
  <w:style w:type="character" w:customStyle="1" w:styleId="skn-slo3txt-itl">
    <w:name w:val="skn-slo3_txt-itl"/>
    <w:basedOn w:val="DefaultParagraphFont"/>
    <w:rPr>
      <w:i/>
      <w:iCs/>
    </w:rPr>
  </w:style>
  <w:style w:type="table" w:customStyle="1" w:styleId="skn-slo3sectionexpr-sectbl-upper">
    <w:name w:val="skn-slo3_section_expr-sec_tbl-upper"/>
    <w:basedOn w:val="TableNormal"/>
    <w:tblPr/>
  </w:style>
  <w:style w:type="character" w:customStyle="1" w:styleId="divCharacter">
    <w:name w:val="div Character"/>
    <w:basedOn w:val="DefaultParagraphFont"/>
    <w:rPr>
      <w:bdr w:val="none" w:sz="0" w:space="0" w:color="auto"/>
      <w:vertAlign w:val="baseline"/>
    </w:rPr>
  </w:style>
  <w:style w:type="paragraph" w:customStyle="1" w:styleId="skn-slo3ulliParagraph">
    <w:name w:val="skn-slo3_ul_li Paragraph"/>
    <w:basedOn w:val="Normal"/>
  </w:style>
  <w:style w:type="table" w:customStyle="1" w:styleId="skn-slo3sectionexpr-secparlrColmn">
    <w:name w:val="skn-slo3_section_expr-sec_parlrColmn"/>
    <w:basedOn w:val="TableNormal"/>
    <w:tblPr/>
  </w:style>
  <w:style w:type="character" w:customStyle="1" w:styleId="skn-slo3sectionexpr-secparlrColmnparagraphnth-last-child1timeline-svg">
    <w:name w:val="skn-slo3_section_expr-sec_parlrColmn_paragraph_nth-last-child(1)_timeline-svg"/>
    <w:basedOn w:val="DefaultParagraphFont"/>
    <w:rPr>
      <w:bdr w:val="none" w:sz="0" w:space="0" w:color="auto"/>
    </w:rPr>
  </w:style>
  <w:style w:type="character" w:customStyle="1" w:styleId="skn-slo3sectionexpr-secparlrColmnparagraphnth-last-child1singlecolumn">
    <w:name w:val="skn-slo3_section_expr-sec_parlrColmn_paragraph_nth-last-child(1)_singlecolumn"/>
    <w:basedOn w:val="DefaultParagraphFont"/>
  </w:style>
  <w:style w:type="character" w:customStyle="1" w:styleId="skn-slo3sectionedu-secparlrColmntimeline-svg">
    <w:name w:val="skn-slo3_section_edu-sec_parlrColmn_timeline-svg"/>
    <w:basedOn w:val="DefaultParagraphFont"/>
  </w:style>
  <w:style w:type="character" w:customStyle="1" w:styleId="skn-slo3sectionedu-secparlrColmnsinglecolumn">
    <w:name w:val="skn-slo3_section_edu-sec_parlrColmn_singlecolumn"/>
    <w:basedOn w:val="DefaultParagraphFont"/>
  </w:style>
  <w:style w:type="character" w:customStyle="1" w:styleId="skn-slo3edu-secparagraphsinglecolumnedu-headerfield-groupfield-group-leftCell">
    <w:name w:val="skn-slo3_edu-sec_paragraph_singlecolumn_edu-header_field-group_field-group-leftCell"/>
    <w:basedOn w:val="DefaultParagraphFont"/>
  </w:style>
  <w:style w:type="character" w:customStyle="1" w:styleId="skn-slo3edu-seccmn-title">
    <w:name w:val="skn-slo3_edu-sec_cmn-title"/>
    <w:basedOn w:val="DefaultParagraphFont"/>
  </w:style>
  <w:style w:type="character" w:customStyle="1" w:styleId="skn-slo3edu-secparagraphsinglecolumnedu-headerfield-grouppaddingcell">
    <w:name w:val="skn-slo3_edu-sec_paragraph_singlecolumn_edu-header_field-group_paddingcell"/>
    <w:basedOn w:val="DefaultParagraphFont"/>
  </w:style>
  <w:style w:type="paragraph" w:customStyle="1" w:styleId="skn-slo3edu-secparagraphsinglecolumnedu-headerfield-grouppaddingcellParagraph">
    <w:name w:val="skn-slo3_edu-sec_paragraph_singlecolumn_edu-header_field-group_paddingcell Paragraph"/>
    <w:basedOn w:val="Normal"/>
  </w:style>
  <w:style w:type="character" w:customStyle="1" w:styleId="skn-slo3edu-secparagraphsinglecolumnedu-headerfield-groupfield-group-rightCell">
    <w:name w:val="skn-slo3_edu-sec_paragraph_singlecolumn_edu-header_field-group_field-group-rightCell"/>
    <w:basedOn w:val="DefaultParagraphFont"/>
  </w:style>
  <w:style w:type="character" w:customStyle="1" w:styleId="skn-slo3spce-beforegpa">
    <w:name w:val="skn-slo3_spce-beforegpa"/>
    <w:basedOn w:val="DefaultParagraphFont"/>
    <w:rPr>
      <w:sz w:val="20"/>
      <w:szCs w:val="20"/>
    </w:rPr>
  </w:style>
  <w:style w:type="table" w:customStyle="1" w:styleId="skn-slo3edu-secparagraphsinglecolumnedu-headerfield-group">
    <w:name w:val="skn-slo3_edu-sec_paragraph_singlecolumn_edu-header_field-group"/>
    <w:basedOn w:val="TableNormal"/>
    <w:tblPr/>
  </w:style>
  <w:style w:type="character" w:customStyle="1" w:styleId="skn-slo3tbl-leftinner">
    <w:name w:val="skn-slo3_tbl-leftinner"/>
    <w:basedOn w:val="DefaultParagraphFont"/>
  </w:style>
  <w:style w:type="character" w:customStyle="1" w:styleId="skn-slo3txt-bold">
    <w:name w:val="skn-slo3_txt-bold"/>
    <w:basedOn w:val="DefaultParagraphFont"/>
    <w:rPr>
      <w:b/>
      <w:bCs/>
    </w:rPr>
  </w:style>
  <w:style w:type="character" w:customStyle="1" w:styleId="skn-slo3edu-secparagraphsinglecolumnedu-headerfield-groupfield-group-rightCellfield-group-rightCell-stillenrolled">
    <w:name w:val="skn-slo3_edu-sec_paragraph_singlecolumn_edu-header_field-group_field-group-rightCell_field-group-rightCell-stillenrolled"/>
    <w:basedOn w:val="DefaultParagraphFont"/>
  </w:style>
  <w:style w:type="table" w:customStyle="1" w:styleId="skn-slo3sectionedu-secparlrColmn">
    <w:name w:val="skn-slo3_section_edu-sec_parlrColmn"/>
    <w:basedOn w:val="TableNormal"/>
    <w:tblPr/>
  </w:style>
  <w:style w:type="character" w:customStyle="1" w:styleId="skn-slo3sectionedu-secparlrColmnparagraphnth-last-child1timeline-svg">
    <w:name w:val="skn-slo3_section_edu-sec_parlrColmn_paragraph_nth-last-child(1)_timeline-svg"/>
    <w:basedOn w:val="DefaultParagraphFont"/>
    <w:rPr>
      <w:bdr w:val="none" w:sz="0" w:space="0" w:color="auto"/>
    </w:rPr>
  </w:style>
  <w:style w:type="character" w:customStyle="1" w:styleId="skn-slo3sectionedu-secparlrColmnparagraphnth-last-child1singlecolumn">
    <w:name w:val="skn-slo3_section_edu-sec_parlrColmn_paragraph_nth-last-child(1)_singlecolumn"/>
    <w:basedOn w:val="DefaultParagraphFont"/>
  </w:style>
  <w:style w:type="paragraph" w:customStyle="1" w:styleId="skn-slo3reference-sec">
    <w:name w:val="skn-slo3_reference-sec"/>
    <w:basedOn w:val="Normal"/>
  </w:style>
  <w:style w:type="paragraph" w:customStyle="1" w:styleId="skn-slo3reference-secheading">
    <w:name w:val="skn-slo3_reference-sec_heading"/>
    <w:basedOn w:val="Normal"/>
  </w:style>
  <w:style w:type="character" w:customStyle="1" w:styleId="skn-slo3reference-secparagraphnth-last-child1">
    <w:name w:val="skn-slo3_reference-sec_paragraph_nth-last-child(1)"/>
    <w:basedOn w:val="DefaultParagraphFont"/>
  </w:style>
  <w:style w:type="table" w:customStyle="1" w:styleId="skn-slo3sectionreference-secrefparatable">
    <w:name w:val="skn-slo3_section_reference-sec_refparatabl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theme" Target="theme/theme1.xml" /><Relationship Id="rId9" Type="http://schemas.openxmlformats.org/officeDocument/2006/relationships/numbering" Target="numbering.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Ankit Verma</dc:title>
  <cp:revision>0</cp:revision>
</cp:coreProperties>
</file>