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tbl>
      <w:tblPr>
        <w:tblStyle w:val="skn-mlo1top-sectionleft-box"/>
        <w:tblW w:w="0" w:type="auto"/>
        <w:tblCellSpacing w:w="0" w:type="dxa"/>
        <w:shd w:val="clear" w:color="auto" w:fill="454545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2240"/>
      </w:tblGrid>
      <w:tr>
        <w:tblPrEx>
          <w:tblW w:w="0" w:type="auto"/>
          <w:tblCellSpacing w:w="0" w:type="dxa"/>
          <w:shd w:val="clear" w:color="auto" w:fill="454545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2240" w:type="dxa"/>
            <w:shd w:val="clear" w:color="auto" w:fill="E0A83A"/>
            <w:tcMar>
              <w:top w:w="0" w:type="dxa"/>
              <w:left w:w="0" w:type="dxa"/>
              <w:bottom w:w="420" w:type="dxa"/>
              <w:right w:w="0" w:type="dxa"/>
            </w:tcMar>
            <w:vAlign w:val="center"/>
            <w:hideMark/>
          </w:tcPr>
          <w:p>
            <w:pPr>
              <w:pStyle w:val="skn-mlo1name"/>
              <w:pBdr>
                <w:top w:val="none" w:sz="0" w:space="0" w:color="auto"/>
                <w:left w:val="none" w:sz="0" w:space="0" w:color="auto"/>
                <w:bottom w:val="none" w:sz="0" w:space="6" w:color="auto"/>
                <w:right w:val="none" w:sz="0" w:space="0" w:color="auto"/>
              </w:pBdr>
              <w:spacing w:before="0" w:after="0"/>
              <w:ind w:left="360" w:right="360"/>
              <w:jc w:val="center"/>
              <w:rPr>
                <w:rStyle w:val="skn-mlo1top-sectionleft-boxname-sec"/>
                <w:rFonts w:ascii="Open Sans" w:eastAsia="Open Sans" w:hAnsi="Open Sans" w:cs="Open Sans"/>
                <w:caps/>
                <w:color w:val="FFFFFF"/>
                <w:sz w:val="48"/>
                <w:szCs w:val="48"/>
                <w:bdr w:val="none" w:sz="0" w:space="0" w:color="auto"/>
                <w:shd w:val="clear" w:color="auto" w:fill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aps/>
              </w:rPr>
              <w:t>Ananya</w:t>
            </w:r>
            <w:r>
              <w:rPr>
                <w:rStyle w:val="skn-mlo1top-sectionleft-boxname-sec"/>
                <w:rFonts w:ascii="Open Sans" w:eastAsia="Open Sans" w:hAnsi="Open Sans" w:cs="Open Sans"/>
                <w:caps/>
                <w:bdr w:val="none" w:sz="0" w:space="0" w:color="auto"/>
                <w:shd w:val="clear" w:color="auto" w:fill="auto"/>
                <w:vertAlign w:val="baseline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caps/>
              </w:rPr>
              <w:t>Kulkarni</w:t>
            </w:r>
            <w:r>
              <w:pict>
                <v:rect id="_x0000_s1025" style="width:226pt;height:11in;margin-top:0;margin-left:386pt;mso-position-horizontal-relative:page;mso-position-vertical-relative:page;position:absolute;z-index:-251658240" o:allowincell="f" fillcolor="#f9f9f9" stroked="f">
                  <v:path strokeok="f"/>
                </v:rect>
              </w:pict>
            </w:r>
          </w:p>
          <w:p>
            <w:pPr>
              <w:pStyle w:val="name-svg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360" w:right="360"/>
              <w:jc w:val="center"/>
              <w:rPr>
                <w:rStyle w:val="skn-mlo1top-sectionleft-boxname-sec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</w:pPr>
            <w:r>
              <w:rPr>
                <w:rStyle w:val="skn-mlo1top-sectionleft-boxname-sec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  <w:drawing>
                <wp:inline>
                  <wp:extent cx="850473" cy="13318"/>
                  <wp:docPr id="100001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1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0473" cy="1331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skn-mlo1txt-bold"/>
              <w:pBdr>
                <w:top w:val="none" w:sz="0" w:space="12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300" w:lineRule="atLeast"/>
              <w:ind w:left="360" w:right="360"/>
              <w:jc w:val="center"/>
              <w:rPr>
                <w:rStyle w:val="skn-mlo1top-sectionleft-boxname-sec"/>
                <w:rFonts w:ascii="Open Sans" w:eastAsia="Open Sans" w:hAnsi="Open Sans" w:cs="Open Sans"/>
                <w:b/>
                <w:bCs/>
                <w:caps/>
                <w:color w:val="FFFFFF"/>
                <w:spacing w:val="19"/>
                <w:bdr w:val="none" w:sz="0" w:space="0" w:color="auto"/>
                <w:shd w:val="clear" w:color="auto" w:fill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/>
                <w:bCs/>
                <w:caps/>
                <w:color w:val="FFFFFF"/>
                <w:spacing w:val="19"/>
              </w:rPr>
              <w:t>Rehabilitation Nursing Assistant</w:t>
            </w:r>
          </w:p>
          <w:p>
            <w:pPr>
              <w:pStyle w:val="skn-mlo1top-sectionleft-boxname-sec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hd w:val="clear" w:color="auto" w:fill="auto"/>
              <w:spacing w:before="0" w:after="0" w:line="20" w:lineRule="atLeast"/>
              <w:ind w:left="0" w:right="0"/>
              <w:textAlignment w:val="auto"/>
              <w:rPr>
                <w:rStyle w:val="skn-mlo1top-sectionleft-boxname-sec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</w:pPr>
            <w:r>
              <w:rPr>
                <w:color w:val="FFFFFF"/>
                <w:sz w:val="2"/>
              </w:rPr>
              <w:t>.</w:t>
            </w:r>
            <w:r>
              <w:pict>
                <v:rect id="_x0000_s1026" style="width:612pt;height:23pt;margin-top:0;margin-left:0;mso-position-horizontal-relative:page;mso-position-vertical-relative:page;position:absolute;z-index:251659264" o:allowincell="f" fillcolor="#e0a83a" stroked="f">
                  <v:path strokeok="f"/>
                </v:rect>
              </w:pict>
            </w:r>
          </w:p>
        </w:tc>
      </w:tr>
    </w:tbl>
    <w:p>
      <w:pPr>
        <w:rPr>
          <w:vanish/>
        </w:rPr>
      </w:pPr>
    </w:p>
    <w:tbl>
      <w:tblPr>
        <w:tblStyle w:val="skn-mlo1mid-section"/>
        <w:tblW w:w="0" w:type="auto"/>
        <w:tblCellSpacing w:w="0" w:type="dxa"/>
        <w:tblInd w:w="0" w:type="dxa"/>
        <w:tblLayout w:type="fixed"/>
        <w:tblCellMar>
          <w:top w:w="0" w:type="dxa"/>
          <w:left w:w="340" w:type="dxa"/>
          <w:bottom w:w="0" w:type="dxa"/>
          <w:right w:w="0" w:type="dxa"/>
        </w:tblCellMar>
        <w:tblLook w:val="05E0"/>
      </w:tblPr>
      <w:tblGrid>
        <w:gridCol w:w="7720"/>
        <w:gridCol w:w="4520"/>
      </w:tblGrid>
      <w:tr>
        <w:tblPrEx>
          <w:tblW w:w="0" w:type="auto"/>
          <w:tblCellSpacing w:w="0" w:type="dxa"/>
          <w:tblInd w:w="0" w:type="dxa"/>
          <w:tblLayout w:type="fixed"/>
          <w:tblCellMar>
            <w:top w:w="0" w:type="dxa"/>
            <w:left w:w="34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7720" w:type="dxa"/>
            <w:tcMar>
              <w:top w:w="0" w:type="dxa"/>
              <w:left w:w="0" w:type="dxa"/>
              <w:bottom w:w="0" w:type="dxa"/>
              <w:right w:w="480" w:type="dxa"/>
            </w:tcMar>
            <w:vAlign w:val="top"/>
            <w:hideMark/>
          </w:tcPr>
          <w:p>
            <w:pPr>
              <w:pStyle w:val="skn-mlo1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380" w:after="240"/>
              <w:ind w:left="340" w:right="0"/>
              <w:rPr>
                <w:rStyle w:val="skn-mlo1mid-sectionleft-box"/>
                <w:rFonts w:ascii="Open Sans" w:eastAsia="Open Sans" w:hAnsi="Open Sans" w:cs="Open Sans"/>
                <w:b/>
                <w:bCs/>
                <w:caps/>
                <w:color w:val="E0A83A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1mid-sectionleft-box"/>
                <w:rFonts w:ascii="Open Sans" w:eastAsia="Open Sans" w:hAnsi="Open Sans" w:cs="Open Sans"/>
                <w:b/>
                <w:bCs/>
                <w:caps/>
                <w:bdr w:val="none" w:sz="0" w:space="0" w:color="auto"/>
                <w:vertAlign w:val="baseline"/>
              </w:rPr>
              <w:t>Professional Summary</w:t>
            </w:r>
          </w:p>
          <w:p>
            <w:pPr>
              <w:pStyle w:val="p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340" w:lineRule="atLeast"/>
              <w:ind w:left="340" w:right="0"/>
              <w:rPr>
                <w:rStyle w:val="skn-mlo1mid-sectionleft-box"/>
                <w:rFonts w:ascii="Open Sans" w:eastAsia="Open Sans" w:hAnsi="Open Sans" w:cs="Open Sans"/>
                <w:color w:val="050505"/>
                <w:sz w:val="22"/>
                <w:szCs w:val="22"/>
                <w:bdr w:val="none" w:sz="0" w:space="0" w:color="auto"/>
                <w:vertAlign w:val="baseline"/>
              </w:rPr>
            </w:pPr>
            <w:r>
              <w:rPr>
                <w:rStyle w:val="skn-mlo1mid-sectionleft-box"/>
                <w:rFonts w:ascii="Open Sans" w:eastAsia="Open Sans" w:hAnsi="Open Sans" w:cs="Open Sans"/>
                <w:color w:val="050505"/>
                <w:sz w:val="22"/>
                <w:szCs w:val="22"/>
                <w:bdr w:val="none" w:sz="0" w:space="0" w:color="auto"/>
                <w:vertAlign w:val="baseline"/>
              </w:rPr>
              <w:t>Experienced Rehabilitation Nursing Assistant skilled in post-surgical care assistance, patient mobility support, and rehabilitation therapy. Demonstrates strong abilities in patient safety compliance and infection control practices. Eager to contribute expertise and dedication to a dynamic healthcare team focused on patient recovery and well-being.</w:t>
            </w:r>
          </w:p>
          <w:p>
            <w:pPr>
              <w:pStyle w:val="skn-mlo1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240"/>
              <w:ind w:left="340" w:right="0"/>
              <w:rPr>
                <w:rStyle w:val="skn-mlo1mid-sectionleft-box"/>
                <w:rFonts w:ascii="Open Sans" w:eastAsia="Open Sans" w:hAnsi="Open Sans" w:cs="Open Sans"/>
                <w:b/>
                <w:bCs/>
                <w:caps/>
                <w:color w:val="E0A83A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1mid-sectionleft-box"/>
                <w:rFonts w:ascii="Open Sans" w:eastAsia="Open Sans" w:hAnsi="Open Sans" w:cs="Open Sans"/>
                <w:b/>
                <w:bCs/>
                <w:caps/>
                <w:bdr w:val="none" w:sz="0" w:space="0" w:color="auto"/>
                <w:vertAlign w:val="baseline"/>
              </w:rPr>
              <w:t>Experience</w:t>
            </w:r>
          </w:p>
          <w:p>
            <w:pPr>
              <w:pStyle w:val="skn-mlo1txt-bol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80" w:lineRule="atLeast"/>
              <w:ind w:left="340" w:right="0"/>
              <w:rPr>
                <w:rStyle w:val="skn-mlo1mid-sectionleft-box"/>
                <w:rFonts w:ascii="Open Sans" w:eastAsia="Open Sans" w:hAnsi="Open Sans" w:cs="Open Sans"/>
                <w:b/>
                <w:bCs/>
                <w:color w:val="050505"/>
                <w:sz w:val="22"/>
                <w:szCs w:val="22"/>
                <w:bdr w:val="none" w:sz="0" w:space="0" w:color="auto"/>
                <w:vertAlign w:val="baseline"/>
              </w:rPr>
            </w:pPr>
            <w:r>
              <w:rPr>
                <w:rStyle w:val="skn-mlo1mid-sectionleft-box"/>
                <w:rFonts w:ascii="Open Sans" w:eastAsia="Open Sans" w:hAnsi="Open Sans" w:cs="Open Sans"/>
                <w:b/>
                <w:bCs/>
                <w:color w:val="050505"/>
                <w:sz w:val="22"/>
                <w:szCs w:val="22"/>
                <w:bdr w:val="none" w:sz="0" w:space="0" w:color="auto"/>
                <w:vertAlign w:val="baseline"/>
              </w:rPr>
              <w:t>Rehabilitation Nursing Assistant</w:t>
            </w:r>
          </w:p>
          <w:p>
            <w:pPr>
              <w:pStyle w:val="skn-mlo1disp-block"/>
              <w:spacing w:before="0" w:after="0" w:line="280" w:lineRule="atLeast"/>
              <w:ind w:left="340" w:right="0"/>
              <w:rPr>
                <w:rStyle w:val="skn-mlo1mid-sectionleft-box"/>
                <w:rFonts w:ascii="Open Sans" w:eastAsia="Open Sans" w:hAnsi="Open Sans" w:cs="Open Sans"/>
                <w:color w:val="050505"/>
                <w:sz w:val="22"/>
                <w:szCs w:val="22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E0A83A"/>
                <w:sz w:val="22"/>
                <w:szCs w:val="22"/>
              </w:rPr>
              <w:t>July 2021</w:t>
            </w:r>
            <w:r>
              <w:rPr>
                <w:rStyle w:val="span"/>
                <w:rFonts w:ascii="Open Sans" w:eastAsia="Open Sans" w:hAnsi="Open Sans" w:cs="Open Sans"/>
                <w:color w:val="E0A83A"/>
                <w:sz w:val="22"/>
                <w:szCs w:val="22"/>
              </w:rPr>
              <w:t xml:space="preserve"> - </w:t>
            </w:r>
            <w:r>
              <w:rPr>
                <w:rStyle w:val="span"/>
                <w:rFonts w:ascii="Open Sans" w:eastAsia="Open Sans" w:hAnsi="Open Sans" w:cs="Open Sans"/>
                <w:color w:val="E0A83A"/>
                <w:sz w:val="22"/>
                <w:szCs w:val="22"/>
              </w:rPr>
              <w:t>Present</w:t>
            </w:r>
            <w:r>
              <w:rPr>
                <w:rStyle w:val="skn-mlo1sprtr"/>
              </w:rPr>
              <w:t>│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2"/>
                <w:szCs w:val="22"/>
              </w:rPr>
              <w:t>Apollo Hospitals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2"/>
                <w:szCs w:val="22"/>
              </w:rPr>
              <w:t xml:space="preserve">, 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2"/>
                <w:szCs w:val="22"/>
              </w:rPr>
              <w:t>Pune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2"/>
                <w:szCs w:val="22"/>
              </w:rPr>
              <w:t xml:space="preserve">, 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2"/>
                <w:szCs w:val="22"/>
              </w:rPr>
              <w:t>Maharashtra</w:t>
            </w:r>
          </w:p>
          <w:p>
            <w:pPr>
              <w:pStyle w:val="skn-mlo1ulli"/>
              <w:numPr>
                <w:ilvl w:val="0"/>
                <w:numId w:val="1"/>
              </w:numPr>
              <w:spacing w:before="80" w:after="0" w:line="260" w:lineRule="atLeast"/>
              <w:ind w:left="90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Assisted physiotherapists during rehabilitation exercises for post-surgical and injury recovery patients in inpatient rehabilitation units.</w:t>
            </w:r>
          </w:p>
          <w:p>
            <w:pPr>
              <w:pStyle w:val="skn-mlo1ulli"/>
              <w:numPr>
                <w:ilvl w:val="0"/>
                <w:numId w:val="1"/>
              </w:numPr>
              <w:spacing w:before="80" w:after="0" w:line="260" w:lineRule="atLeast"/>
              <w:ind w:left="90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Supported patients with mobility aids including walkers, wheelchairs, and braces to ensure safe movement.</w:t>
            </w:r>
          </w:p>
          <w:p>
            <w:pPr>
              <w:pStyle w:val="skn-mlo1ulli"/>
              <w:numPr>
                <w:ilvl w:val="0"/>
                <w:numId w:val="1"/>
              </w:numPr>
              <w:spacing w:before="80" w:after="0" w:line="260" w:lineRule="atLeast"/>
              <w:ind w:left="90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Monitored vital signs before and after therapy sessions and reported changes to supervising nurses.</w:t>
            </w:r>
          </w:p>
          <w:p>
            <w:pPr>
              <w:pStyle w:val="skn-mlo1ulli"/>
              <w:numPr>
                <w:ilvl w:val="0"/>
                <w:numId w:val="1"/>
              </w:numPr>
              <w:spacing w:before="80" w:after="0" w:line="260" w:lineRule="atLeast"/>
              <w:ind w:left="90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Maintained patient hygiene, positioning, and comfort during extended rehabilitation hospital stays.</w:t>
            </w:r>
          </w:p>
          <w:p>
            <w:pPr>
              <w:pStyle w:val="skn-mlo1ulli"/>
              <w:numPr>
                <w:ilvl w:val="0"/>
                <w:numId w:val="1"/>
              </w:numPr>
              <w:spacing w:before="80" w:after="0" w:line="260" w:lineRule="atLeast"/>
              <w:ind w:left="90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Documented daily patient progress notes and therapy assistance records accurately in hospital systems.</w:t>
            </w:r>
          </w:p>
          <w:p>
            <w:pPr>
              <w:pStyle w:val="skn-mlo1ulli"/>
              <w:numPr>
                <w:ilvl w:val="0"/>
                <w:numId w:val="1"/>
              </w:numPr>
              <w:spacing w:before="80" w:after="0" w:line="260" w:lineRule="atLeast"/>
              <w:ind w:left="90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Followed infection control protocols while handling patients with wounds, catheters, or limited mobility.</w:t>
            </w:r>
          </w:p>
          <w:p>
            <w:pPr>
              <w:pStyle w:val="skn-mlo1ulli"/>
              <w:numPr>
                <w:ilvl w:val="0"/>
                <w:numId w:val="1"/>
              </w:numPr>
              <w:spacing w:before="80" w:after="0" w:line="260" w:lineRule="atLeast"/>
              <w:ind w:left="90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Educated patients and caregivers on basic exercises and safety precautions for home rehabilitation.</w:t>
            </w:r>
          </w:p>
          <w:p>
            <w:pPr>
              <w:pStyle w:val="skn-mlo1txt-bold"/>
              <w:pBdr>
                <w:top w:val="none" w:sz="0" w:space="1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80" w:lineRule="atLeast"/>
              <w:ind w:left="340" w:right="0"/>
              <w:rPr>
                <w:rStyle w:val="skn-mlo1mid-sectionleft-box"/>
                <w:rFonts w:ascii="Open Sans" w:eastAsia="Open Sans" w:hAnsi="Open Sans" w:cs="Open Sans"/>
                <w:b/>
                <w:bCs/>
                <w:color w:val="050505"/>
                <w:sz w:val="22"/>
                <w:szCs w:val="22"/>
                <w:bdr w:val="none" w:sz="0" w:space="0" w:color="auto"/>
                <w:vertAlign w:val="baseline"/>
              </w:rPr>
            </w:pPr>
            <w:r>
              <w:rPr>
                <w:rStyle w:val="skn-mlo1mid-sectionleft-box"/>
                <w:rFonts w:ascii="Open Sans" w:eastAsia="Open Sans" w:hAnsi="Open Sans" w:cs="Open Sans"/>
                <w:b/>
                <w:bCs/>
                <w:color w:val="050505"/>
                <w:sz w:val="22"/>
                <w:szCs w:val="22"/>
                <w:bdr w:val="none" w:sz="0" w:space="0" w:color="auto"/>
                <w:vertAlign w:val="baseline"/>
              </w:rPr>
              <w:t>Rehabilitation Nursing Assistant</w:t>
            </w:r>
          </w:p>
          <w:p>
            <w:pPr>
              <w:pStyle w:val="skn-mlo1disp-block"/>
              <w:spacing w:before="0" w:after="0" w:line="280" w:lineRule="atLeast"/>
              <w:ind w:left="340" w:right="0"/>
              <w:rPr>
                <w:rStyle w:val="skn-mlo1mid-sectionleft-box"/>
                <w:rFonts w:ascii="Open Sans" w:eastAsia="Open Sans" w:hAnsi="Open Sans" w:cs="Open Sans"/>
                <w:color w:val="050505"/>
                <w:sz w:val="22"/>
                <w:szCs w:val="22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E0A83A"/>
                <w:sz w:val="22"/>
                <w:szCs w:val="22"/>
              </w:rPr>
              <w:t>January 2019</w:t>
            </w:r>
            <w:r>
              <w:rPr>
                <w:rStyle w:val="span"/>
                <w:rFonts w:ascii="Open Sans" w:eastAsia="Open Sans" w:hAnsi="Open Sans" w:cs="Open Sans"/>
                <w:color w:val="E0A83A"/>
                <w:sz w:val="22"/>
                <w:szCs w:val="22"/>
              </w:rPr>
              <w:t xml:space="preserve"> - </w:t>
            </w:r>
            <w:r>
              <w:rPr>
                <w:rStyle w:val="span"/>
                <w:rFonts w:ascii="Open Sans" w:eastAsia="Open Sans" w:hAnsi="Open Sans" w:cs="Open Sans"/>
                <w:color w:val="E0A83A"/>
                <w:sz w:val="22"/>
                <w:szCs w:val="22"/>
              </w:rPr>
              <w:t>June 2021</w:t>
            </w:r>
            <w:r>
              <w:rPr>
                <w:rStyle w:val="skn-mlo1sprtr"/>
              </w:rPr>
              <w:t>│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2"/>
                <w:szCs w:val="22"/>
              </w:rPr>
              <w:t>Ruby Hall Clinic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2"/>
                <w:szCs w:val="22"/>
              </w:rPr>
              <w:t xml:space="preserve">, 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2"/>
                <w:szCs w:val="22"/>
              </w:rPr>
              <w:t>Pune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2"/>
                <w:szCs w:val="22"/>
              </w:rPr>
              <w:t xml:space="preserve">, 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2"/>
                <w:szCs w:val="22"/>
              </w:rPr>
              <w:t>Maharashtra</w:t>
            </w:r>
          </w:p>
          <w:p>
            <w:pPr>
              <w:pStyle w:val="skn-mlo1ulli"/>
              <w:numPr>
                <w:ilvl w:val="0"/>
                <w:numId w:val="2"/>
              </w:numPr>
              <w:spacing w:before="80" w:after="0" w:line="260" w:lineRule="atLeast"/>
              <w:ind w:left="90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Assisted rehabilitation nurses in providing care to stroke, orthopedic, and spinal injury patients.</w:t>
            </w:r>
          </w:p>
          <w:p>
            <w:pPr>
              <w:pStyle w:val="skn-mlo1ulli"/>
              <w:numPr>
                <w:ilvl w:val="0"/>
                <w:numId w:val="2"/>
              </w:numPr>
              <w:spacing w:before="80" w:after="0" w:line="260" w:lineRule="atLeast"/>
              <w:ind w:left="90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Helped patients perform prescribed exercises and therapy routines under professional supervision.</w:t>
            </w:r>
          </w:p>
          <w:p>
            <w:pPr>
              <w:pStyle w:val="skn-mlo1ulli"/>
              <w:numPr>
                <w:ilvl w:val="0"/>
                <w:numId w:val="2"/>
              </w:numPr>
              <w:spacing w:before="80" w:after="0" w:line="260" w:lineRule="atLeast"/>
              <w:ind w:left="90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Ensured proper use and maintenance of rehabilitation equipment and therapy support tools.</w:t>
            </w:r>
          </w:p>
          <w:p>
            <w:pPr>
              <w:pStyle w:val="skn-mlo1ulli"/>
              <w:numPr>
                <w:ilvl w:val="0"/>
                <w:numId w:val="2"/>
              </w:numPr>
              <w:spacing w:before="80" w:after="0" w:line="260" w:lineRule="atLeast"/>
              <w:ind w:left="90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Observed patient responses during therapy sessions and reported discomfort or complications immediately.</w:t>
            </w:r>
          </w:p>
          <w:p>
            <w:pPr>
              <w:pStyle w:val="skn-mlo1ulli"/>
              <w:numPr>
                <w:ilvl w:val="0"/>
                <w:numId w:val="2"/>
              </w:numPr>
              <w:spacing w:before="80" w:after="0" w:line="260" w:lineRule="atLeast"/>
              <w:ind w:left="90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Supported patient transfers between beds, therapy rooms, and diagnostic areas safely.</w:t>
            </w:r>
          </w:p>
          <w:p>
            <w:pPr>
              <w:pStyle w:val="skn-mlo1ulli"/>
              <w:numPr>
                <w:ilvl w:val="0"/>
                <w:numId w:val="2"/>
              </w:numPr>
              <w:spacing w:before="80" w:after="0" w:line="260" w:lineRule="atLeast"/>
              <w:ind w:left="90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Maintained cleanliness and readiness of rehabilitation wards and therapy rooms daily.</w:t>
            </w:r>
          </w:p>
          <w:p>
            <w:pPr>
              <w:pStyle w:val="skn-mlo1ulli"/>
              <w:numPr>
                <w:ilvl w:val="0"/>
                <w:numId w:val="2"/>
              </w:numPr>
              <w:spacing w:before="80" w:after="0" w:line="260" w:lineRule="atLeast"/>
              <w:ind w:left="90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Communicated regularly with multidisciplinary teams to ensure continuity of patient rehabilitation care.</w:t>
            </w:r>
          </w:p>
          <w:p>
            <w:pPr>
              <w:pStyle w:val="skn-mlo1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240"/>
              <w:ind w:left="340" w:right="0"/>
              <w:rPr>
                <w:rStyle w:val="skn-mlo1mid-sectionleft-box"/>
                <w:rFonts w:ascii="Open Sans" w:eastAsia="Open Sans" w:hAnsi="Open Sans" w:cs="Open Sans"/>
                <w:b/>
                <w:bCs/>
                <w:caps/>
                <w:color w:val="E0A83A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1mid-sectionleft-box"/>
                <w:rFonts w:ascii="Open Sans" w:eastAsia="Open Sans" w:hAnsi="Open Sans" w:cs="Open Sans"/>
                <w:b/>
                <w:bCs/>
                <w:caps/>
                <w:bdr w:val="none" w:sz="0" w:space="0" w:color="auto"/>
                <w:vertAlign w:val="baseline"/>
              </w:rPr>
              <w:t>Education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0" w:lineRule="exact"/>
              <w:ind w:left="340" w:right="0"/>
              <w:rPr>
                <w:rStyle w:val="skn-mlo1mid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1mid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1disp-block"/>
              <w:spacing w:before="0" w:after="0" w:line="260" w:lineRule="atLeast"/>
              <w:ind w:left="340" w:right="0"/>
              <w:rPr>
                <w:rStyle w:val="skn-mlo1mid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/>
                <w:bCs/>
                <w:color w:val="050505"/>
                <w:sz w:val="22"/>
                <w:szCs w:val="22"/>
              </w:rPr>
              <w:t>10th Standard</w:t>
            </w:r>
            <w:r>
              <w:rPr>
                <w:rStyle w:val="skn-mlo1txt-boldCharacter"/>
                <w:rFonts w:ascii="Open Sans" w:eastAsia="Open Sans" w:hAnsi="Open Sans" w:cs="Open Sans"/>
                <w:b/>
                <w:bCs/>
                <w:color w:val="050505"/>
                <w:sz w:val="22"/>
                <w:szCs w:val="22"/>
              </w:rPr>
              <w:t xml:space="preserve"> </w:t>
            </w:r>
          </w:p>
          <w:p>
            <w:pPr>
              <w:pStyle w:val="skn-mlo1disp-block"/>
              <w:spacing w:before="0" w:after="0" w:line="280" w:lineRule="atLeast"/>
              <w:ind w:left="340" w:right="0"/>
              <w:rPr>
                <w:rStyle w:val="skn-mlo1mid-sectionleft-box"/>
                <w:rFonts w:ascii="Open Sans" w:eastAsia="Open Sans" w:hAnsi="Open Sans" w:cs="Open Sans"/>
                <w:color w:val="E0A83A"/>
                <w:sz w:val="22"/>
                <w:szCs w:val="22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E0A83A"/>
                <w:sz w:val="22"/>
                <w:szCs w:val="22"/>
              </w:rPr>
              <w:t>April 2012</w:t>
            </w:r>
            <w:r>
              <w:rPr>
                <w:rStyle w:val="span"/>
                <w:rFonts w:ascii="Open Sans" w:eastAsia="Open Sans" w:hAnsi="Open Sans" w:cs="Open Sans"/>
                <w:color w:val="E0A83A"/>
                <w:sz w:val="22"/>
                <w:szCs w:val="22"/>
              </w:rPr>
              <w:t xml:space="preserve"> </w:t>
            </w:r>
          </w:p>
          <w:p>
            <w:pPr>
              <w:pStyle w:val="skn-mlo1disp-block"/>
              <w:spacing w:before="0" w:after="0" w:line="260" w:lineRule="atLeast"/>
              <w:ind w:left="340" w:right="0"/>
              <w:rPr>
                <w:rStyle w:val="skn-mlo1mid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St. Mary's High School</w:t>
            </w:r>
            <w:r>
              <w:rPr>
                <w:rStyle w:val="skn-mlo1space-bw"/>
                <w:rFonts w:ascii="Open Sans" w:eastAsia="Open Sans" w:hAnsi="Open Sans" w:cs="Open Sans"/>
                <w:color w:val="050505"/>
                <w:sz w:val="20"/>
                <w:szCs w:val="20"/>
              </w:rPr>
              <w:t>,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Maharashtra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00" w:lineRule="exact"/>
              <w:ind w:left="340" w:right="0"/>
              <w:rPr>
                <w:rStyle w:val="skn-mlo1mid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1mid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1disp-block"/>
              <w:spacing w:before="0" w:after="0" w:line="260" w:lineRule="atLeast"/>
              <w:ind w:left="340" w:right="0"/>
              <w:rPr>
                <w:rStyle w:val="skn-mlo1mid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/>
                <w:bCs/>
                <w:color w:val="050505"/>
                <w:sz w:val="22"/>
                <w:szCs w:val="22"/>
              </w:rPr>
              <w:t>12th Standard</w:t>
            </w:r>
            <w:r>
              <w:rPr>
                <w:rStyle w:val="skn-mlo1txt-boldCharacter"/>
                <w:rFonts w:ascii="Open Sans" w:eastAsia="Open Sans" w:hAnsi="Open Sans" w:cs="Open Sans"/>
                <w:b/>
                <w:bCs/>
                <w:color w:val="050505"/>
                <w:sz w:val="22"/>
                <w:szCs w:val="22"/>
              </w:rPr>
              <w:t xml:space="preserve"> </w:t>
            </w:r>
          </w:p>
          <w:p>
            <w:pPr>
              <w:pStyle w:val="skn-mlo1disp-block"/>
              <w:spacing w:before="0" w:after="0" w:line="280" w:lineRule="atLeast"/>
              <w:ind w:left="340" w:right="0"/>
              <w:rPr>
                <w:rStyle w:val="skn-mlo1mid-sectionleft-box"/>
                <w:rFonts w:ascii="Open Sans" w:eastAsia="Open Sans" w:hAnsi="Open Sans" w:cs="Open Sans"/>
                <w:color w:val="E0A83A"/>
                <w:sz w:val="22"/>
                <w:szCs w:val="22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E0A83A"/>
                <w:sz w:val="22"/>
                <w:szCs w:val="22"/>
              </w:rPr>
              <w:t>March 2014</w:t>
            </w:r>
            <w:r>
              <w:rPr>
                <w:rStyle w:val="span"/>
                <w:rFonts w:ascii="Open Sans" w:eastAsia="Open Sans" w:hAnsi="Open Sans" w:cs="Open Sans"/>
                <w:color w:val="E0A83A"/>
                <w:sz w:val="22"/>
                <w:szCs w:val="22"/>
              </w:rPr>
              <w:t xml:space="preserve"> </w:t>
            </w:r>
          </w:p>
          <w:p>
            <w:pPr>
              <w:pStyle w:val="skn-mlo1disp-block"/>
              <w:spacing w:before="0" w:after="0" w:line="260" w:lineRule="atLeast"/>
              <w:ind w:left="340" w:right="0"/>
              <w:rPr>
                <w:rStyle w:val="skn-mlo1mid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Modern Junior College</w:t>
            </w:r>
            <w:r>
              <w:rPr>
                <w:rStyle w:val="skn-mlo1space-bw"/>
                <w:rFonts w:ascii="Open Sans" w:eastAsia="Open Sans" w:hAnsi="Open Sans" w:cs="Open Sans"/>
                <w:color w:val="050505"/>
                <w:sz w:val="20"/>
                <w:szCs w:val="20"/>
              </w:rPr>
              <w:t>,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Maharashtra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00" w:lineRule="exact"/>
              <w:ind w:left="340" w:right="0"/>
              <w:rPr>
                <w:rStyle w:val="skn-mlo1mid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1mid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1disp-block"/>
              <w:spacing w:before="0" w:after="0" w:line="260" w:lineRule="atLeast"/>
              <w:ind w:left="340" w:right="0"/>
              <w:rPr>
                <w:rStyle w:val="skn-mlo1mid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/>
                <w:bCs/>
                <w:color w:val="050505"/>
                <w:sz w:val="22"/>
                <w:szCs w:val="22"/>
              </w:rPr>
              <w:t>Bachelor of Science</w:t>
            </w:r>
            <w:r>
              <w:rPr>
                <w:rStyle w:val="skn-mlo1txt-boldCharacter"/>
                <w:rFonts w:ascii="Open Sans" w:eastAsia="Open Sans" w:hAnsi="Open Sans" w:cs="Open Sans"/>
                <w:b/>
                <w:bCs/>
                <w:color w:val="050505"/>
                <w:sz w:val="22"/>
                <w:szCs w:val="22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b/>
                <w:bCs/>
                <w:color w:val="050505"/>
                <w:sz w:val="22"/>
                <w:szCs w:val="22"/>
              </w:rPr>
              <w:t>in</w:t>
            </w:r>
            <w:r>
              <w:rPr>
                <w:rStyle w:val="skn-mlo1txt-boldCharacter"/>
                <w:rFonts w:ascii="Open Sans" w:eastAsia="Open Sans" w:hAnsi="Open Sans" w:cs="Open Sans"/>
                <w:b/>
                <w:bCs/>
                <w:color w:val="050505"/>
                <w:sz w:val="22"/>
                <w:szCs w:val="22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b/>
                <w:bCs/>
                <w:color w:val="050505"/>
                <w:sz w:val="22"/>
                <w:szCs w:val="22"/>
              </w:rPr>
              <w:t>Nursing Assistance</w:t>
            </w:r>
            <w:r>
              <w:rPr>
                <w:rStyle w:val="skn-mlo1txt-boldCharacter"/>
                <w:rFonts w:ascii="Open Sans" w:eastAsia="Open Sans" w:hAnsi="Open Sans" w:cs="Open Sans"/>
                <w:b/>
                <w:bCs/>
                <w:color w:val="050505"/>
                <w:sz w:val="22"/>
                <w:szCs w:val="22"/>
              </w:rPr>
              <w:t xml:space="preserve"> </w:t>
            </w:r>
          </w:p>
          <w:p>
            <w:pPr>
              <w:pStyle w:val="skn-mlo1disp-block"/>
              <w:spacing w:before="0" w:after="0" w:line="280" w:lineRule="atLeast"/>
              <w:ind w:left="340" w:right="0"/>
              <w:rPr>
                <w:rStyle w:val="skn-mlo1mid-sectionleft-box"/>
                <w:rFonts w:ascii="Open Sans" w:eastAsia="Open Sans" w:hAnsi="Open Sans" w:cs="Open Sans"/>
                <w:color w:val="E0A83A"/>
                <w:sz w:val="22"/>
                <w:szCs w:val="22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E0A83A"/>
                <w:sz w:val="22"/>
                <w:szCs w:val="22"/>
              </w:rPr>
              <w:t>May 2017</w:t>
            </w:r>
            <w:r>
              <w:rPr>
                <w:rStyle w:val="span"/>
                <w:rFonts w:ascii="Open Sans" w:eastAsia="Open Sans" w:hAnsi="Open Sans" w:cs="Open Sans"/>
                <w:color w:val="E0A83A"/>
                <w:sz w:val="22"/>
                <w:szCs w:val="22"/>
              </w:rPr>
              <w:t xml:space="preserve"> </w:t>
            </w:r>
          </w:p>
          <w:p>
            <w:pPr>
              <w:pStyle w:val="skn-mlo1disp-block"/>
              <w:spacing w:before="0" w:after="0" w:line="260" w:lineRule="atLeast"/>
              <w:ind w:left="340" w:right="0"/>
              <w:rPr>
                <w:rStyle w:val="skn-mlo1mid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Tilak Maharashtra Vidyapeeth</w:t>
            </w:r>
            <w:r>
              <w:rPr>
                <w:rStyle w:val="skn-mlo1space-bw"/>
                <w:rFonts w:ascii="Open Sans" w:eastAsia="Open Sans" w:hAnsi="Open Sans" w:cs="Open Sans"/>
                <w:color w:val="050505"/>
                <w:sz w:val="20"/>
                <w:szCs w:val="20"/>
              </w:rPr>
              <w:t>,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Maharashtra</w:t>
            </w:r>
          </w:p>
          <w:p>
            <w:pPr>
              <w:pStyle w:val="skn-mlo1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240"/>
              <w:ind w:left="340" w:right="0"/>
              <w:rPr>
                <w:rStyle w:val="skn-mlo1mid-sectionleft-box"/>
                <w:rFonts w:ascii="Open Sans" w:eastAsia="Open Sans" w:hAnsi="Open Sans" w:cs="Open Sans"/>
                <w:b/>
                <w:bCs/>
                <w:caps/>
                <w:color w:val="E0A83A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1mid-sectionleft-box"/>
                <w:rFonts w:ascii="Open Sans" w:eastAsia="Open Sans" w:hAnsi="Open Sans" w:cs="Open Sans"/>
                <w:b/>
                <w:bCs/>
                <w:caps/>
                <w:bdr w:val="none" w:sz="0" w:space="0" w:color="auto"/>
                <w:vertAlign w:val="baseline"/>
              </w:rPr>
              <w:t>Certifications</w:t>
            </w:r>
          </w:p>
          <w:p>
            <w:pPr>
              <w:pStyle w:val="p"/>
              <w:numPr>
                <w:ilvl w:val="0"/>
                <w:numId w:val="3"/>
              </w:numPr>
              <w:spacing w:before="80" w:after="0" w:line="260" w:lineRule="atLeast"/>
              <w:ind w:left="90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Rehabilitation Care Assistant Course – Indian Red Cross Society</w:t>
            </w:r>
          </w:p>
          <w:p>
            <w:pPr>
              <w:pStyle w:val="p"/>
              <w:numPr>
                <w:ilvl w:val="0"/>
                <w:numId w:val="3"/>
              </w:numPr>
              <w:spacing w:before="80" w:after="0" w:line="260" w:lineRule="atLeast"/>
              <w:ind w:left="90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Patient Handling and Mobility Certification – NSDC</w:t>
            </w:r>
          </w:p>
          <w:p>
            <w:pPr>
              <w:pStyle w:val="p"/>
              <w:numPr>
                <w:ilvl w:val="0"/>
                <w:numId w:val="3"/>
              </w:numPr>
              <w:spacing w:before="80" w:after="0" w:line="260" w:lineRule="atLeast"/>
              <w:ind w:left="90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State Nursing Assistant Registration – Maharashtra</w:t>
            </w:r>
          </w:p>
          <w:p>
            <w:pPr>
              <w:pStyle w:val="p"/>
              <w:numPr>
                <w:ilvl w:val="0"/>
                <w:numId w:val="3"/>
              </w:numPr>
              <w:spacing w:before="80" w:after="0" w:line="260" w:lineRule="atLeast"/>
              <w:ind w:left="90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CPR and Basic Life Support Certification</w:t>
            </w:r>
          </w:p>
          <w:p>
            <w:pPr>
              <w:pStyle w:val="skn-mlo1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240"/>
              <w:ind w:left="340" w:right="0"/>
              <w:rPr>
                <w:rStyle w:val="skn-mlo1mid-sectionleft-box"/>
                <w:rFonts w:ascii="Open Sans" w:eastAsia="Open Sans" w:hAnsi="Open Sans" w:cs="Open Sans"/>
                <w:b/>
                <w:bCs/>
                <w:caps/>
                <w:color w:val="E0A83A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1mid-sectionleft-box"/>
                <w:rFonts w:ascii="Open Sans" w:eastAsia="Open Sans" w:hAnsi="Open Sans" w:cs="Open Sans"/>
                <w:b/>
                <w:bCs/>
                <w:caps/>
                <w:bdr w:val="none" w:sz="0" w:space="0" w:color="auto"/>
                <w:vertAlign w:val="baseline"/>
              </w:rPr>
              <w:t>Projects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340" w:right="0"/>
              <w:rPr>
                <w:rStyle w:val="skn-mlo1mid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1mid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Post-Stroke Rehabilitation Support Project involving assisted mobility and daily care routines for recovering patients. Orthopedic Recovery Assistance Project focusing on post-surgery mobility support and patient safety practices.</w:t>
            </w:r>
          </w:p>
          <w:p>
            <w:pPr>
              <w:pStyle w:val="skn-mlo1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240"/>
              <w:ind w:left="340" w:right="0"/>
              <w:rPr>
                <w:rStyle w:val="skn-mlo1mid-sectionleft-box"/>
                <w:rFonts w:ascii="Open Sans" w:eastAsia="Open Sans" w:hAnsi="Open Sans" w:cs="Open Sans"/>
                <w:b/>
                <w:bCs/>
                <w:caps/>
                <w:color w:val="E0A83A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1mid-sectionleft-box"/>
                <w:rFonts w:ascii="Open Sans" w:eastAsia="Open Sans" w:hAnsi="Open Sans" w:cs="Open Sans"/>
                <w:b/>
                <w:bCs/>
                <w:caps/>
                <w:bdr w:val="none" w:sz="0" w:space="0" w:color="auto"/>
                <w:vertAlign w:val="baseline"/>
              </w:rPr>
              <w:t>Industry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340" w:right="0"/>
              <w:rPr>
                <w:rStyle w:val="skn-mlo1mid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1mid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Healthcare and Rehabilitation Services</w:t>
            </w:r>
          </w:p>
          <w:p>
            <w:pPr>
              <w:pStyle w:val="skn-mlo1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240"/>
              <w:ind w:left="340" w:right="0"/>
              <w:rPr>
                <w:rStyle w:val="skn-mlo1mid-sectionleft-box"/>
                <w:rFonts w:ascii="Open Sans" w:eastAsia="Open Sans" w:hAnsi="Open Sans" w:cs="Open Sans"/>
                <w:b/>
                <w:bCs/>
                <w:caps/>
                <w:color w:val="E0A83A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1mid-sectionleft-box"/>
                <w:rFonts w:ascii="Open Sans" w:eastAsia="Open Sans" w:hAnsi="Open Sans" w:cs="Open Sans"/>
                <w:b/>
                <w:bCs/>
                <w:caps/>
                <w:bdr w:val="none" w:sz="0" w:space="0" w:color="auto"/>
                <w:vertAlign w:val="baseline"/>
              </w:rPr>
              <w:t>Accomplishments</w:t>
            </w:r>
          </w:p>
          <w:p>
            <w:pPr>
              <w:pStyle w:val="skn-mlo1ulli"/>
              <w:numPr>
                <w:ilvl w:val="0"/>
                <w:numId w:val="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60" w:lineRule="atLeast"/>
              <w:ind w:left="900" w:right="0" w:hanging="372"/>
              <w:rPr>
                <w:rStyle w:val="skn-mlo1mid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1mid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Recognized at Apollo Hospitals for consistent patient recovery support and accurate rehabilitation documentation.</w:t>
            </w:r>
          </w:p>
          <w:p>
            <w:pPr>
              <w:pStyle w:val="skn-mlo1ulli"/>
              <w:numPr>
                <w:ilvl w:val="0"/>
                <w:numId w:val="4"/>
              </w:numPr>
              <w:spacing w:before="80" w:after="0" w:line="260" w:lineRule="atLeast"/>
              <w:ind w:left="900" w:right="0" w:hanging="372"/>
              <w:rPr>
                <w:rStyle w:val="skn-mlo1mid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1mid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Appreciated at Ruby Hall Clinic for assisting in reducing patient mobility-related incidents.</w:t>
            </w:r>
          </w:p>
          <w:p>
            <w:pPr>
              <w:pStyle w:val="skn-mlo1ulli"/>
              <w:numPr>
                <w:ilvl w:val="0"/>
                <w:numId w:val="4"/>
              </w:numPr>
              <w:spacing w:before="80" w:after="0" w:line="260" w:lineRule="atLeast"/>
              <w:ind w:left="900" w:right="0" w:hanging="372"/>
              <w:rPr>
                <w:rStyle w:val="skn-mlo1mid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1mid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Commended for teamwork and reliability during high patient load rehabilitation periods.</w:t>
            </w:r>
          </w:p>
          <w:p>
            <w:pPr>
              <w:pStyle w:val="skn-mlo1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240"/>
              <w:ind w:left="340" w:right="0"/>
              <w:rPr>
                <w:rStyle w:val="skn-mlo1mid-sectionleft-box"/>
                <w:rFonts w:ascii="Open Sans" w:eastAsia="Open Sans" w:hAnsi="Open Sans" w:cs="Open Sans"/>
                <w:b/>
                <w:bCs/>
                <w:caps/>
                <w:color w:val="E0A83A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1mid-sectionleft-box"/>
                <w:rFonts w:ascii="Open Sans" w:eastAsia="Open Sans" w:hAnsi="Open Sans" w:cs="Open Sans"/>
                <w:b/>
                <w:bCs/>
                <w:caps/>
                <w:bdr w:val="none" w:sz="0" w:space="0" w:color="auto"/>
                <w:vertAlign w:val="baseline"/>
              </w:rPr>
              <w:t>References</w:t>
            </w:r>
          </w:p>
          <w:p>
            <w:pPr>
              <w:pStyle w:val="skn-mlo1sectionreference-secparagraphref-upon-request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60" w:lineRule="atLeast"/>
              <w:ind w:left="340" w:right="0"/>
              <w:textAlignment w:val="top"/>
              <w:rPr>
                <w:rStyle w:val="skn-mlo1mid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References available upon request</w:t>
            </w:r>
          </w:p>
          <w:p>
            <w:pPr>
              <w:pStyle w:val="skn-mlo1mid-sectionleft-boxParagraph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0" w:lineRule="exact"/>
              <w:ind w:left="340" w:right="0"/>
              <w:textAlignment w:val="auto"/>
              <w:rPr>
                <w:rStyle w:val="skn-mlo1mid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4520" w:type="dxa"/>
            <w:tcMar>
              <w:top w:w="0" w:type="dxa"/>
              <w:left w:w="0" w:type="dxa"/>
              <w:bottom w:w="0" w:type="dxa"/>
              <w:right w:w="340" w:type="dxa"/>
            </w:tcMar>
            <w:vAlign w:val="top"/>
            <w:hideMark/>
          </w:tcPr>
          <w:p>
            <w:pPr>
              <w:pStyle w:val="skn-mlo1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380" w:after="240"/>
              <w:ind w:left="340" w:right="0"/>
              <w:rPr>
                <w:rStyle w:val="skn-mlo1mid-sectionright-box"/>
                <w:rFonts w:ascii="Open Sans" w:eastAsia="Open Sans" w:hAnsi="Open Sans" w:cs="Open Sans"/>
                <w:b/>
                <w:bCs/>
                <w:caps/>
                <w:color w:val="E0A83A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1mid-sectionright-box"/>
                <w:rFonts w:ascii="Open Sans" w:eastAsia="Open Sans" w:hAnsi="Open Sans" w:cs="Open Sans"/>
                <w:b/>
                <w:bCs/>
                <w:caps/>
                <w:bdr w:val="none" w:sz="0" w:space="0" w:color="auto"/>
                <w:vertAlign w:val="baseline"/>
              </w:rPr>
              <w:t>Contact</w:t>
            </w:r>
          </w:p>
          <w:tbl>
            <w:tblPr>
              <w:tblStyle w:val="skn-mlo1icon-row"/>
              <w:tblW w:w="0" w:type="auto"/>
              <w:tblCellSpacing w:w="0" w:type="dxa"/>
              <w:tblInd w:w="34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560"/>
              <w:gridCol w:w="3640"/>
            </w:tblGrid>
            <w:tr>
              <w:tblPrEx>
                <w:tblW w:w="0" w:type="auto"/>
                <w:tblCellSpacing w:w="0" w:type="dxa"/>
                <w:tblInd w:w="34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rHeight w:val="360"/>
                <w:tblCellSpacing w:w="0" w:type="dxa"/>
              </w:trPr>
              <w:tc>
                <w:tcPr>
                  <w:tcW w:w="560" w:type="dxa"/>
                  <w:tcMar>
                    <w:top w:w="0" w:type="dxa"/>
                    <w:left w:w="0" w:type="dxa"/>
                    <w:bottom w:w="20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before="20"/>
                    <w:rPr>
                      <w:rStyle w:val="skn-mlo1mid-sectionright-box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1mid-sectionright-box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drawing>
                      <wp:inline>
                        <wp:extent cx="229101" cy="229235"/>
                        <wp:docPr id="100003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3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9101" cy="22923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40" w:type="dxa"/>
                  <w:tcMar>
                    <w:top w:w="0" w:type="dxa"/>
                    <w:left w:w="0" w:type="dxa"/>
                    <w:bottom w:w="200" w:type="dxa"/>
                    <w:right w:w="500" w:type="dxa"/>
                  </w:tcMar>
                  <w:vAlign w:val="top"/>
                  <w:hideMark/>
                </w:tcPr>
                <w:p>
                  <w:pPr>
                    <w:rPr>
                      <w:rStyle w:val="skn-mlo1ico-svg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+91 98765 43210</w:t>
                  </w:r>
                  <w:r>
                    <w:rPr>
                      <w:rStyle w:val="skn-mlo1ico-txt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 xml:space="preserve"> </w:t>
                  </w: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skn-mlo1icon-row"/>
              <w:tblW w:w="0" w:type="auto"/>
              <w:tblCellSpacing w:w="0" w:type="dxa"/>
              <w:tblInd w:w="34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560"/>
              <w:gridCol w:w="3640"/>
            </w:tblGrid>
            <w:tr>
              <w:tblPrEx>
                <w:tblW w:w="0" w:type="auto"/>
                <w:tblCellSpacing w:w="0" w:type="dxa"/>
                <w:tblInd w:w="34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rHeight w:val="360"/>
                <w:tblCellSpacing w:w="0" w:type="dxa"/>
              </w:trPr>
              <w:tc>
                <w:tcPr>
                  <w:tcW w:w="560" w:type="dxa"/>
                  <w:tcMar>
                    <w:top w:w="0" w:type="dxa"/>
                    <w:left w:w="0" w:type="dxa"/>
                    <w:bottom w:w="20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before="20"/>
                    <w:rPr>
                      <w:rStyle w:val="skn-mlo1mid-sectionright-box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1mid-sectionright-box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drawing>
                      <wp:inline>
                        <wp:extent cx="229101" cy="229235"/>
                        <wp:docPr id="100005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5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9101" cy="22923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40" w:type="dxa"/>
                  <w:tcMar>
                    <w:top w:w="0" w:type="dxa"/>
                    <w:left w:w="0" w:type="dxa"/>
                    <w:bottom w:w="200" w:type="dxa"/>
                    <w:right w:w="500" w:type="dxa"/>
                  </w:tcMar>
                  <w:vAlign w:val="top"/>
                  <w:hideMark/>
                </w:tcPr>
                <w:p>
                  <w:pPr>
                    <w:rPr>
                      <w:rStyle w:val="skn-mlo1ico-svg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ananya.kulkarni@example.com</w:t>
                  </w: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skn-mlo1icon-row"/>
              <w:tblW w:w="0" w:type="auto"/>
              <w:tblCellSpacing w:w="0" w:type="dxa"/>
              <w:tblInd w:w="34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560"/>
              <w:gridCol w:w="3640"/>
            </w:tblGrid>
            <w:tr>
              <w:tblPrEx>
                <w:tblW w:w="0" w:type="auto"/>
                <w:tblCellSpacing w:w="0" w:type="dxa"/>
                <w:tblInd w:w="34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rHeight w:val="360"/>
                <w:tblCellSpacing w:w="0" w:type="dxa"/>
              </w:trPr>
              <w:tc>
                <w:tcPr>
                  <w:tcW w:w="560" w:type="dxa"/>
                  <w:tcMar>
                    <w:top w:w="0" w:type="dxa"/>
                    <w:left w:w="0" w:type="dxa"/>
                    <w:bottom w:w="20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before="20"/>
                    <w:rPr>
                      <w:rStyle w:val="skn-mlo1mid-sectionright-box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1mid-sectionright-box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drawing>
                      <wp:inline>
                        <wp:extent cx="229101" cy="229235"/>
                        <wp:docPr id="100007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7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9101" cy="22923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40" w:type="dxa"/>
                  <w:tcMar>
                    <w:top w:w="0" w:type="dxa"/>
                    <w:left w:w="0" w:type="dxa"/>
                    <w:bottom w:w="200" w:type="dxa"/>
                    <w:right w:w="500" w:type="dxa"/>
                  </w:tcMar>
                  <w:vAlign w:val="top"/>
                  <w:hideMark/>
                </w:tcPr>
                <w:p>
                  <w:pPr>
                    <w:rPr>
                      <w:rStyle w:val="skn-mlo1ico-svg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Pune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,</w:t>
                  </w:r>
                  <w:r>
                    <w:rPr>
                      <w:rStyle w:val="skn-mlo1ico-txt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 xml:space="preserve">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Maharashtra</w:t>
                  </w:r>
                  <w:r>
                    <w:rPr>
                      <w:rStyle w:val="skn-mlo1ico-txt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 xml:space="preserve">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411005</w:t>
                  </w: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skn-mlo1icon-rownth-last-child1"/>
              <w:tblW w:w="0" w:type="auto"/>
              <w:tblCellSpacing w:w="0" w:type="dxa"/>
              <w:tblInd w:w="34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560"/>
              <w:gridCol w:w="3640"/>
            </w:tblGrid>
            <w:tr>
              <w:tblPrEx>
                <w:tblW w:w="0" w:type="auto"/>
                <w:tblCellSpacing w:w="0" w:type="dxa"/>
                <w:tblInd w:w="34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rHeight w:val="360"/>
                <w:tblCellSpacing w:w="0" w:type="dxa"/>
              </w:trPr>
              <w:tc>
                <w:tcPr>
                  <w:tcW w:w="560" w:type="dxa"/>
                  <w:tcMar>
                    <w:top w:w="0" w:type="dxa"/>
                    <w:left w:w="0" w:type="dxa"/>
                    <w:bottom w:w="20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before="20"/>
                    <w:rPr>
                      <w:rStyle w:val="skn-mlo1mid-sectionright-box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1mid-sectionright-box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drawing>
                      <wp:inline>
                        <wp:extent cx="229101" cy="229235"/>
                        <wp:docPr id="100009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9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9101" cy="22923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640" w:type="dxa"/>
                  <w:tcMar>
                    <w:top w:w="0" w:type="dxa"/>
                    <w:left w:w="0" w:type="dxa"/>
                    <w:bottom w:w="200" w:type="dxa"/>
                    <w:right w:w="500" w:type="dxa"/>
                  </w:tcMar>
                  <w:vAlign w:val="top"/>
                  <w:hideMark/>
                </w:tcPr>
                <w:p>
                  <w:pPr>
                    <w:rPr>
                      <w:rStyle w:val="skn-mlo1ico-svg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12 March 1996</w:t>
                  </w:r>
                </w:p>
              </w:tc>
            </w:tr>
          </w:tbl>
          <w:p>
            <w:pPr>
              <w:pStyle w:val="skn-mlo1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80" w:after="240"/>
              <w:ind w:left="340" w:right="0"/>
              <w:rPr>
                <w:rStyle w:val="skn-mlo1mid-sectionright-box"/>
                <w:rFonts w:ascii="Open Sans" w:eastAsia="Open Sans" w:hAnsi="Open Sans" w:cs="Open Sans"/>
                <w:b/>
                <w:bCs/>
                <w:caps/>
                <w:color w:val="E0A83A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1mid-sectionright-box"/>
                <w:rFonts w:ascii="Open Sans" w:eastAsia="Open Sans" w:hAnsi="Open Sans" w:cs="Open Sans"/>
                <w:b/>
                <w:bCs/>
                <w:caps/>
                <w:bdr w:val="none" w:sz="0" w:space="0" w:color="auto"/>
                <w:vertAlign w:val="baseline"/>
              </w:rPr>
              <w:t>Skills</w:t>
            </w:r>
          </w:p>
          <w:p>
            <w:pPr>
              <w:pStyle w:val="p"/>
              <w:numPr>
                <w:ilvl w:val="0"/>
                <w:numId w:val="5"/>
              </w:numPr>
              <w:spacing w:before="80" w:after="0" w:line="260" w:lineRule="atLeast"/>
              <w:ind w:left="90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Patient mobility assistance</w:t>
            </w:r>
          </w:p>
          <w:p>
            <w:pPr>
              <w:pStyle w:val="p"/>
              <w:numPr>
                <w:ilvl w:val="0"/>
                <w:numId w:val="5"/>
              </w:numPr>
              <w:spacing w:before="80" w:after="0" w:line="260" w:lineRule="atLeast"/>
              <w:ind w:left="90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Rehabilitation therapy support</w:t>
            </w:r>
          </w:p>
          <w:p>
            <w:pPr>
              <w:pStyle w:val="p"/>
              <w:numPr>
                <w:ilvl w:val="0"/>
                <w:numId w:val="5"/>
              </w:numPr>
              <w:spacing w:before="80" w:after="0" w:line="260" w:lineRule="atLeast"/>
              <w:ind w:left="90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Vital signs monitoring</w:t>
            </w:r>
          </w:p>
          <w:p>
            <w:pPr>
              <w:pStyle w:val="p"/>
              <w:numPr>
                <w:ilvl w:val="0"/>
                <w:numId w:val="5"/>
              </w:numPr>
              <w:spacing w:before="80" w:after="0" w:line="260" w:lineRule="atLeast"/>
              <w:ind w:left="90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Post-surgical care assistance</w:t>
            </w:r>
          </w:p>
          <w:p>
            <w:pPr>
              <w:pStyle w:val="p"/>
              <w:numPr>
                <w:ilvl w:val="0"/>
                <w:numId w:val="5"/>
              </w:numPr>
              <w:spacing w:before="80" w:after="0" w:line="260" w:lineRule="atLeast"/>
              <w:ind w:left="90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Patient hygiene and daily care</w:t>
            </w:r>
          </w:p>
          <w:p>
            <w:pPr>
              <w:pStyle w:val="p"/>
              <w:numPr>
                <w:ilvl w:val="0"/>
                <w:numId w:val="5"/>
              </w:numPr>
              <w:spacing w:before="80" w:after="0" w:line="260" w:lineRule="atLeast"/>
              <w:ind w:left="90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Medical documentation</w:t>
            </w:r>
          </w:p>
          <w:p>
            <w:pPr>
              <w:pStyle w:val="p"/>
              <w:numPr>
                <w:ilvl w:val="0"/>
                <w:numId w:val="5"/>
              </w:numPr>
              <w:spacing w:before="80" w:after="0" w:line="260" w:lineRule="atLeast"/>
              <w:ind w:left="90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Use of mobility aids</w:t>
            </w:r>
          </w:p>
          <w:p>
            <w:pPr>
              <w:pStyle w:val="p"/>
              <w:numPr>
                <w:ilvl w:val="0"/>
                <w:numId w:val="5"/>
              </w:numPr>
              <w:spacing w:before="80" w:after="0" w:line="260" w:lineRule="atLeast"/>
              <w:ind w:left="90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Infection control practices</w:t>
            </w:r>
          </w:p>
          <w:p>
            <w:pPr>
              <w:pStyle w:val="p"/>
              <w:numPr>
                <w:ilvl w:val="0"/>
                <w:numId w:val="5"/>
              </w:numPr>
              <w:spacing w:before="80" w:after="0" w:line="260" w:lineRule="atLeast"/>
              <w:ind w:left="90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Patient safety compliance</w:t>
            </w:r>
          </w:p>
          <w:p>
            <w:pPr>
              <w:pStyle w:val="p"/>
              <w:numPr>
                <w:ilvl w:val="0"/>
                <w:numId w:val="5"/>
              </w:numPr>
              <w:spacing w:before="80" w:after="0" w:line="260" w:lineRule="atLeast"/>
              <w:ind w:left="900" w:right="0" w:hanging="372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Team coordination</w:t>
            </w:r>
          </w:p>
        </w:tc>
      </w:tr>
    </w:tbl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spacing w:before="0" w:after="0" w:line="20" w:lineRule="auto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color w:val="FFFFFF"/>
          <w:sz w:val="2"/>
        </w:rPr>
        <w:t>.</w:t>
      </w:r>
      <w:r>
        <w:pict>
          <v:rect id="_x0000_s1027" style="width:226pt;height:750pt;margin-top:21pt;margin-left:386pt;mso-position-horizontal-relative:page;mso-position-vertical-relative:page;position:absolute;z-index:-251656192" o:allowincell="f" filled="t" fillcolor="this" stroked="f">
            <v:fill opacity="0"/>
            <v:path strokeok="f"/>
          </v:rect>
        </w:pict>
      </w:r>
    </w:p>
    <w:sectPr>
      <w:headerReference w:type="default" r:id="rId9"/>
      <w:pgSz w:w="12240" w:h="15840"/>
      <w:pgMar w:top="420" w:right="0" w:bottom="420" w:left="0" w:header="0" w:foo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charset w:val="00"/>
    <w:family w:val="auto"/>
    <w:pitch w:val="default"/>
  </w:font>
  <w:font w:name="Courier New">
    <w:charset w:val="00"/>
    <w:family w:val="auto"/>
    <w:pitch w:val="default"/>
  </w:font>
  <w:font w:name="Open Sans">
    <w:charset w:val="00"/>
    <w:family w:val="auto"/>
    <w:pitch w:val="default"/>
    <w:sig w:usb0="00000000" w:usb1="00000000" w:usb2="00000000" w:usb3="00000000" w:csb0="00000001" w:csb1="00000000"/>
    <w:embedRegular r:id="rId1" w:fontKey="{DA1063A9-F353-47C6-A0AC-59203F7E05DD}"/>
    <w:embedBold r:id="rId2" w:fontKey="{D72F53CB-65A5-4669-A739-51E507E6CF78}"/>
  </w:font>
  <w:font w:name="Symbol">
    <w:charset w:val="00"/>
    <w:family w:val="auto"/>
    <w:pitch w:val="default"/>
  </w:font>
  <w:font w:name="Times New Roman">
    <w:charset w:val="00"/>
    <w:family w:val="auto"/>
    <w:pitch w:val="default"/>
  </w:font>
  <w:font w:name="Wingdings">
    <w:charset w:val="00"/>
    <w:family w:val="auto"/>
    <w:pitch w:val="default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space="0" w:color="auto"/>
      </w:pBdr>
      <w:spacing w:before="0" w:after="0" w:line="20" w:lineRule="auto"/>
    </w:pPr>
    <w:r>
      <w:pict>
        <v:rect id="_x0000_s2049" style="width:226pt;height:11in;margin-top:0;margin-left:386pt;mso-position-horizontal-relative:page;mso-position-vertical-relative:page;position:absolute;z-index:-251658240" o:allowincell="f" fillcolor="#f9f9f9" stroked="f">
          <v:path strokeok="f"/>
        </v:rect>
      </w:pict>
    </w:r>
    <w:r>
      <w:rPr>
        <w:color w:val="FFFFFF"/>
        <w:sz w:val="2"/>
      </w:rPr>
      <w:t>.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E0A83A"/>
        <w:position w:val="2"/>
        <w:sz w:val="22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E0A83A"/>
        <w:position w:val="2"/>
        <w:sz w:val="22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E0A83A"/>
        <w:position w:val="2"/>
        <w:sz w:val="22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E0A83A"/>
        <w:position w:val="2"/>
        <w:sz w:val="22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E0A83A"/>
        <w:position w:val="2"/>
        <w:sz w:val="22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jc w:val="left"/>
      <w:textAlignment w:val="baseline"/>
    </w:pPr>
    <w:rPr>
      <w:sz w:val="24"/>
      <w:szCs w:val="24"/>
      <w:bdr w:val="none" w:sz="0" w:space="0" w:color="auto"/>
      <w:vertAlign w:val="baseli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240" w:after="0"/>
      <w:textAlignment w:val="baseline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  <w:bdr w:val="none" w:sz="0" w:space="0" w:color="auto"/>
      <w:vertAlign w:val="baseline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  <w:bdr w:val="none" w:sz="0" w:space="0" w:color="auto"/>
      <w:vertAlign w:val="baseline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  <w:bdr w:val="none" w:sz="0" w:space="0" w:color="auto"/>
      <w:vertAlign w:val="baseline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  <w:bdr w:val="none" w:sz="0" w:space="0" w:color="auto"/>
      <w:vertAlign w:val="baseline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  <w:bdr w:val="none" w:sz="0" w:space="0" w:color="auto"/>
      <w:vertAlign w:val="baseline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  <w:bdr w:val="none" w:sz="0" w:space="0" w:color="auto"/>
      <w:vertAlign w:val="baseline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paragraph" w:customStyle="1" w:styleId="skn-mlo1pagesize">
    <w:name w:val="skn-mlo1_pagesize"/>
    <w:basedOn w:val="Normal"/>
  </w:style>
  <w:style w:type="paragraph" w:customStyle="1" w:styleId="skn-mlo1top-section">
    <w:name w:val="skn-mlo1_top-section"/>
    <w:basedOn w:val="Normal"/>
    <w:pPr>
      <w:shd w:val="clear" w:color="auto" w:fill="454545"/>
    </w:pPr>
    <w:rPr>
      <w:shd w:val="clear" w:color="auto" w:fill="454545"/>
    </w:rPr>
  </w:style>
  <w:style w:type="character" w:customStyle="1" w:styleId="skn-mlo1top-sectionleft-boxname-sec">
    <w:name w:val="skn-mlo1_top-section_left-box_name-sec"/>
    <w:basedOn w:val="DefaultParagraphFont"/>
    <w:rPr>
      <w:shd w:val="clear" w:color="auto" w:fill="E0A83A"/>
    </w:rPr>
  </w:style>
  <w:style w:type="paragraph" w:customStyle="1" w:styleId="skn-mlo1top-sectionleft-boxname-secdiv">
    <w:name w:val="skn-mlo1_top-section_left-box_name-sec &gt; div"/>
    <w:basedOn w:val="Normal"/>
    <w:pPr>
      <w:pBdr>
        <w:left w:val="none" w:sz="0" w:space="18" w:color="auto"/>
        <w:right w:val="none" w:sz="0" w:space="18" w:color="auto"/>
      </w:pBdr>
    </w:pPr>
  </w:style>
  <w:style w:type="paragraph" w:customStyle="1" w:styleId="skn-mlo1name">
    <w:name w:val="skn-mlo1_name"/>
    <w:basedOn w:val="Normal"/>
    <w:pPr>
      <w:pBdr>
        <w:bottom w:val="none" w:sz="0" w:space="6" w:color="auto"/>
      </w:pBdr>
      <w:spacing w:line="640" w:lineRule="atLeast"/>
    </w:pPr>
    <w:rPr>
      <w:caps/>
      <w:color w:val="FFFFFF"/>
      <w:sz w:val="48"/>
      <w:szCs w:val="48"/>
    </w:rPr>
  </w:style>
  <w:style w:type="character" w:customStyle="1" w:styleId="span">
    <w:name w:val="span"/>
    <w:basedOn w:val="DefaultParagraphFont"/>
    <w:rPr>
      <w:bdr w:val="none" w:sz="0" w:space="0" w:color="auto"/>
      <w:vertAlign w:val="baseline"/>
    </w:rPr>
  </w:style>
  <w:style w:type="paragraph" w:customStyle="1" w:styleId="name-svg">
    <w:name w:val="name-svg"/>
    <w:basedOn w:val="Normal"/>
    <w:pPr>
      <w:spacing w:line="20" w:lineRule="atLeast"/>
    </w:pPr>
  </w:style>
  <w:style w:type="paragraph" w:customStyle="1" w:styleId="skn-mlo1txt-bold">
    <w:name w:val="skn-mlo1_txt-bold"/>
    <w:basedOn w:val="Normal"/>
    <w:rPr>
      <w:b/>
      <w:bCs/>
    </w:rPr>
  </w:style>
  <w:style w:type="paragraph" w:customStyle="1" w:styleId="skn-mlo1top-sectionleft-boxname-secParagraph">
    <w:name w:val="skn-mlo1_top-section_left-box_name-sec Paragraph"/>
    <w:basedOn w:val="Normal"/>
    <w:pPr>
      <w:pBdr>
        <w:top w:val="none" w:sz="0" w:space="0" w:color="auto"/>
        <w:left w:val="none" w:sz="0" w:space="0" w:color="auto"/>
        <w:bottom w:val="none" w:sz="0" w:space="21" w:color="auto"/>
        <w:right w:val="none" w:sz="0" w:space="0" w:color="auto"/>
      </w:pBdr>
      <w:shd w:val="clear" w:color="auto" w:fill="E0A83A"/>
      <w:jc w:val="center"/>
      <w:textAlignment w:val="center"/>
    </w:pPr>
    <w:rPr>
      <w:shd w:val="clear" w:color="auto" w:fill="E0A83A"/>
    </w:rPr>
  </w:style>
  <w:style w:type="table" w:customStyle="1" w:styleId="skn-mlo1top-sectionleft-box">
    <w:name w:val="skn-mlo1_top-section_left-box"/>
    <w:basedOn w:val="TableNormal"/>
    <w:tblPr/>
  </w:style>
  <w:style w:type="character" w:customStyle="1" w:styleId="skn-mlo1mid-sectionleft-box">
    <w:name w:val="skn-mlo1_mid-section_left-box"/>
    <w:basedOn w:val="DefaultParagraphFont"/>
  </w:style>
  <w:style w:type="paragraph" w:customStyle="1" w:styleId="skn-mlo1mid-sectionleft-boxsectionnth-child1">
    <w:name w:val="skn-mlo1_mid-section_left-box_section_nth-child(1)"/>
    <w:basedOn w:val="Normal"/>
  </w:style>
  <w:style w:type="paragraph" w:customStyle="1" w:styleId="skn-mlo1heading">
    <w:name w:val="skn-mlo1_heading"/>
    <w:basedOn w:val="Normal"/>
  </w:style>
  <w:style w:type="paragraph" w:customStyle="1" w:styleId="skn-mlo1sectiontitle">
    <w:name w:val="skn-mlo1_sectiontitle"/>
    <w:basedOn w:val="Normal"/>
    <w:pPr>
      <w:spacing w:line="300" w:lineRule="atLeast"/>
    </w:pPr>
    <w:rPr>
      <w:b/>
      <w:bCs/>
      <w:caps/>
      <w:color w:val="E0A83A"/>
      <w:spacing w:val="12"/>
      <w:sz w:val="24"/>
      <w:szCs w:val="24"/>
    </w:rPr>
  </w:style>
  <w:style w:type="paragraph" w:customStyle="1" w:styleId="skn-mlo1mid-sectionleft-boxparagraph">
    <w:name w:val="skn-mlo1_mid-section_left-box_paragraph"/>
    <w:basedOn w:val="Normal"/>
    <w:pPr>
      <w:pBdr>
        <w:left w:val="none" w:sz="0" w:space="0" w:color="auto"/>
      </w:pBdr>
    </w:pPr>
  </w:style>
  <w:style w:type="paragraph" w:customStyle="1" w:styleId="div">
    <w:name w:val="div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paragraph" w:customStyle="1" w:styleId="p">
    <w:name w:val="p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paragraph" w:customStyle="1" w:styleId="skn-mlo1mid-sectionsection">
    <w:name w:val="skn-mlo1_mid-section_section"/>
    <w:basedOn w:val="Normal"/>
  </w:style>
  <w:style w:type="paragraph" w:customStyle="1" w:styleId="skn-mlo1disp-block">
    <w:name w:val="skn-mlo1_disp-block"/>
    <w:basedOn w:val="Normal"/>
  </w:style>
  <w:style w:type="character" w:customStyle="1" w:styleId="skn-mlo1clr-pickr">
    <w:name w:val="skn-mlo1_clr-pickr"/>
    <w:basedOn w:val="DefaultParagraphFont"/>
    <w:rPr>
      <w:color w:val="E0A83A"/>
    </w:rPr>
  </w:style>
  <w:style w:type="character" w:customStyle="1" w:styleId="skn-mlo1sprtr">
    <w:name w:val="skn-mlo1_sprtr"/>
    <w:basedOn w:val="DefaultParagraphFont"/>
    <w:rPr>
      <w:rFonts w:ascii="Arial" w:eastAsia="Arial" w:hAnsi="Arial" w:cs="Arial"/>
      <w:color w:val="696969"/>
      <w:sz w:val="25"/>
      <w:szCs w:val="25"/>
    </w:rPr>
  </w:style>
  <w:style w:type="paragraph" w:customStyle="1" w:styleId="skn-mlo1ulli">
    <w:name w:val="skn-mlo1_ul_li"/>
    <w:basedOn w:val="Normal"/>
    <w:pPr>
      <w:pBdr>
        <w:left w:val="none" w:sz="0" w:space="9" w:color="auto"/>
      </w:pBdr>
    </w:pPr>
  </w:style>
  <w:style w:type="paragraph" w:customStyle="1" w:styleId="skn-mlo1edu-secparagraphfirstparagraph">
    <w:name w:val="skn-mlo1_edu-sec_paragraph_firstparagraph"/>
    <w:basedOn w:val="Normal"/>
    <w:pPr>
      <w:pBdr>
        <w:top w:val="none" w:sz="0" w:space="0" w:color="auto"/>
      </w:pBdr>
    </w:pPr>
  </w:style>
  <w:style w:type="character" w:customStyle="1" w:styleId="divCharacter">
    <w:name w:val="div Character"/>
    <w:basedOn w:val="DefaultParagraphFont"/>
    <w:rPr>
      <w:bdr w:val="none" w:sz="0" w:space="0" w:color="auto"/>
      <w:vertAlign w:val="baseline"/>
    </w:rPr>
  </w:style>
  <w:style w:type="character" w:customStyle="1" w:styleId="skn-mlo1detail-txt">
    <w:name w:val="skn-mlo1_detail-txt"/>
    <w:basedOn w:val="DefaultParagraphFont"/>
    <w:rPr>
      <w:sz w:val="22"/>
      <w:szCs w:val="22"/>
    </w:rPr>
  </w:style>
  <w:style w:type="character" w:customStyle="1" w:styleId="skn-mlo1txt-boldCharacter">
    <w:name w:val="skn-mlo1_txt-bold Character"/>
    <w:basedOn w:val="DefaultParagraphFont"/>
    <w:rPr>
      <w:b/>
      <w:bCs/>
    </w:rPr>
  </w:style>
  <w:style w:type="character" w:customStyle="1" w:styleId="skn-mlo1space-bw">
    <w:name w:val="skn-mlo1_space-bw"/>
    <w:basedOn w:val="DefaultParagraphFont"/>
  </w:style>
  <w:style w:type="paragraph" w:customStyle="1" w:styleId="skn-mlo1firstparagraph">
    <w:name w:val="skn-mlo1_firstparagraph"/>
    <w:basedOn w:val="Normal"/>
    <w:pPr>
      <w:pBdr>
        <w:top w:val="none" w:sz="0" w:space="0" w:color="auto"/>
      </w:pBdr>
    </w:pPr>
  </w:style>
  <w:style w:type="paragraph" w:customStyle="1" w:styleId="skn-mlo1sectionreference-secparagraphref-upon-request">
    <w:name w:val="skn-mlo1_section_reference-sec_paragraph_ref-upon-request"/>
    <w:basedOn w:val="Normal"/>
  </w:style>
  <w:style w:type="paragraph" w:customStyle="1" w:styleId="skn-mlo1mid-sectionleft-boxParagraph0">
    <w:name w:val="skn-mlo1_mid-section_left-box Paragraph"/>
    <w:basedOn w:val="Normal"/>
  </w:style>
  <w:style w:type="character" w:customStyle="1" w:styleId="skn-mlo1mid-sectionright-box">
    <w:name w:val="skn-mlo1_mid-section_right-box"/>
    <w:basedOn w:val="DefaultParagraphFont"/>
  </w:style>
  <w:style w:type="paragraph" w:customStyle="1" w:styleId="skn-mlo1mid-sectionright-boxsectionnth-child1">
    <w:name w:val="skn-mlo1_mid-section_right-box_section_nth-child(1)"/>
    <w:basedOn w:val="Normal"/>
  </w:style>
  <w:style w:type="character" w:customStyle="1" w:styleId="skn-mlo1ico-svg">
    <w:name w:val="skn-mlo1_ico-svg"/>
    <w:basedOn w:val="DefaultParagraphFont"/>
  </w:style>
  <w:style w:type="character" w:customStyle="1" w:styleId="skn-mlo1ico-txt">
    <w:name w:val="skn-mlo1_ico-txt"/>
    <w:basedOn w:val="DefaultParagraphFont"/>
  </w:style>
  <w:style w:type="table" w:customStyle="1" w:styleId="skn-mlo1icon-row">
    <w:name w:val="skn-mlo1_icon-row"/>
    <w:basedOn w:val="TableNormal"/>
    <w:tblPr/>
  </w:style>
  <w:style w:type="table" w:customStyle="1" w:styleId="skn-mlo1icon-rownth-last-child1">
    <w:name w:val="skn-mlo1_icon-row_nth-last-child(1)"/>
    <w:basedOn w:val="TableNormal"/>
    <w:tblPr/>
  </w:style>
  <w:style w:type="paragraph" w:customStyle="1" w:styleId="skn-mlo1right-boxsinglecolumn">
    <w:name w:val="skn-mlo1_right-box_singlecolumn"/>
    <w:basedOn w:val="Normal"/>
  </w:style>
  <w:style w:type="table" w:customStyle="1" w:styleId="skn-mlo1mid-section">
    <w:name w:val="skn-mlo1_mid-section"/>
    <w:basedOn w:val="TableNormal"/>
    <w:tblPr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numbering" Target="numbering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header" Target="header1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Ananya Kulkarni</dc:title>
  <cp:revision>0</cp:revision>
</cp:coreProperties>
</file>