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Ritu</w:t>
            </w:r>
            <w:r>
              <w:rPr>
                <w:rStyle w:val="skn-slo7top-left-boxname-sec"/>
                <w:b/>
                <w:bCs/>
                <w:color w:val="050505"/>
                <w:bdr w:val="none" w:color="auto" w:sz="0" w:space="0"/>
                <w:vertAlign w:val="baseline"/>
              </w:rPr>
              <w:t xml:space="preserve"> </w:t>
            </w:r>
            <w:r>
              <w:rPr>
                <w:rStyle w:val="span"/>
                <w:b/>
                <w:bCs/>
                <w:color w:val="050505"/>
              </w:rPr>
              <w:t>Sharma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0077C0"/>
                <w:spacing w:val="5"/>
                <w:bdr w:val="none" w:color="auto" w:sz="0" w:space="0"/>
                <w:vertAlign w:val="baseline"/>
              </w:rPr>
            </w:pPr>
            <w:r>
              <w:rPr>
                <w:rStyle w:val="span"/>
                <w:b w:val="0"/>
                <w:bCs w:val="0"/>
              </w:rPr>
              <w:t>Oncology Travel Nurse</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ritu.sharma@example.com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Bengaluru</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Karnataka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560025</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22 September 1988</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CCE4F2" w:sz="0" w:space="0"/>
              <w:left w:val="none" w:color="CCE4F2" w:sz="0" w:space="0"/>
              <w:bottom w:val="single" w:color="CCE4F2" w:sz="16" w:space="0"/>
              <w:right w:val="none" w:color="CCE4F2"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healthcare professional delivering specialized oncology patient care with expertise in chemotherapy administration, cancer symptom management, and multidisciplinary coordination. Skilled in maintaining infection control standards and providing patient counseling to support treatment plans and overall well-being. Offering abilities in clinical documentation and medication safety to ensure high-quality care.</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CCE4F2" w:sz="0" w:space="0"/>
              <w:left w:val="none" w:color="CCE4F2" w:sz="0" w:space="0"/>
              <w:bottom w:val="single" w:color="CCE4F2" w:sz="16" w:space="0"/>
              <w:right w:val="none" w:color="CCE4F2"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Oncology patient care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Chemotherapy administration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Cancer symptom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Pain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IV therapy</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Clinical documentation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Infection control</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Patient counseling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Medication safety</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CCE4F2"/>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Multidisciplinary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CCE4F2" w:sz="0" w:space="0"/>
              <w:left w:val="none" w:color="CCE4F2" w:sz="0" w:space="0"/>
              <w:bottom w:val="single" w:color="CCE4F2" w:sz="16" w:space="0"/>
              <w:right w:val="none" w:color="CCE4F2"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Oncology Travel Nurse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Tata Memorial Hospital</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May 2020</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Delivered direct nursing care to oncology patients undergoing chemotherapy, radiation therapy, and post-surgical cancer treatments.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Assessed patient conditions regularly and documented cancer-related symptoms to support accurate clinical decision-making.</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Administered chemotherapy drugs safely while following oncology protocols and monitoring for adverse drug reactions.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closely with oncologists, pharmacists, and counselors to ensure integrated patient-centered cancer care delivery.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Educated patients and families regarding treatment plans, side effects, nutrition needs, and follow-up care routines.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strict infection control standards to protect immunocompromised patients within oncology units.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end-of-life care with empathy, ensuring comfort, dignity, and emotional reassurance for patients and families.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Staff Oncology Nurse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Hyderabad</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Telangana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Apollo Hospitals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2016</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April 2020</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Provided bedside oncology nursing care to patients admitted for chemotherapy cycles and cancer-related complications.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vital signs, lab results, and treatment responses to promptly report changes to oncology physicians.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central line care, blood transfusions, and IV medication administration under oncology guidelines.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Ensured accurate nursing documentation and medication records aligned with hospital oncology care standards.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Offered psychological support to cancer patients coping with long-term treatment and recovery challenges.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safety protocols during handling, disposal, and storage of chemotherapy medications.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Participated actively in oncology team meetings to review patient progress and treatment effectiveness.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CCE4F2" w:sz="0" w:space="0"/>
              <w:left w:val="none" w:color="CCE4F2" w:sz="0" w:space="0"/>
              <w:bottom w:val="single" w:color="CCE4F2" w:sz="16" w:space="0"/>
              <w:right w:val="none" w:color="CCE4F2"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Rajasthan</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0077C0"/>
              </w:rPr>
              <w:t>St. Joseph's High School</w:t>
            </w:r>
            <w:r>
              <w:rPr>
                <w:rStyle w:val="skn-slo7edu-secparagraphanyCharacter"/>
                <w:rFonts w:ascii="Poppins" w:hAnsi="Poppins" w:eastAsia="Poppins" w:cs="Poppins"/>
                <w:b w:val="0"/>
                <w:bCs w:val="0"/>
                <w:color w:val="0077C0"/>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2004</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Rajasthan</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0077C0"/>
              </w:rPr>
              <w:t>Maharani Gayatri Devi Girls' College</w:t>
            </w:r>
            <w:r>
              <w:rPr>
                <w:rStyle w:val="skn-slo7edu-secparagraphanyCharacter"/>
                <w:rFonts w:ascii="Poppins" w:hAnsi="Poppins" w:eastAsia="Poppins" w:cs="Poppins"/>
                <w:b w:val="0"/>
                <w:bCs w:val="0"/>
                <w:color w:val="0077C0"/>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2006</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Science</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Nursing</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Rajasthan</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0077C0"/>
              </w:rPr>
              <w:t>Rajasthan College of Nursing</w:t>
            </w:r>
            <w:r>
              <w:rPr>
                <w:rStyle w:val="skn-slo7edu-secparagraphanyCharacter"/>
                <w:rFonts w:ascii="Poppins" w:hAnsi="Poppins" w:eastAsia="Poppins" w:cs="Poppins"/>
                <w:b w:val="0"/>
                <w:bCs w:val="0"/>
                <w:color w:val="0077C0"/>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2010</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CCE4F2" w:sz="0" w:space="0"/>
              <w:left w:val="none" w:color="CCE4F2" w:sz="0" w:space="0"/>
              <w:bottom w:val="single" w:color="CCE4F2" w:sz="16" w:space="0"/>
              <w:right w:val="none" w:color="CCE4F2"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5"/>
        <w:gridCol w:w="782"/>
        <w:gridCol w:w="5163"/>
      </w:tblGrid>
      <w:tr>
        <w:tblPrEx>
          <w:tblW w:w="11100" w:type="dxa"/>
          <w:jc w:val="left"/>
          <w:tblInd w:w="220" w:type="dxa"/>
          <w:tblCellMar>
            <w:left w:w="108" w:type="dxa"/>
            <w:right w:w="108" w:type="dxa"/>
          </w:tblCellMar>
        </w:tblPrEx>
        <w:trPr>
          <w:jc w:val="left"/>
        </w:trPr>
        <w:tc>
          <w:tcPr>
            <w:tcW w:w="5250" w:type="dxa"/>
            <w:tcMar>
              <w:left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Oncology Nursing Certificate – Indian Nursing Council Approved Program</w:t>
            </w:r>
          </w:p>
        </w:tc>
        <w:tc>
          <w:tcPr>
            <w:tcW w:w="600" w:type="dxa"/>
            <w:tcMar>
              <w:bottom w:w="100" w:type="dxa"/>
            </w:tcMar>
          </w:tcPr>
          <w:p/>
        </w:tc>
        <w:tc>
          <w:tcPr>
            <w:tcW w:w="5250" w:type="dxa"/>
            <w:tcMar>
              <w:left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Infection Prevention and Control Certification – NABH Recognized Course</w:t>
            </w:r>
          </w:p>
        </w:tc>
      </w:tr>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Registered Nurse License – Indian Nursing Council</w:t>
            </w:r>
          </w:p>
        </w:tc>
        <w:tc>
          <w:tcPr>
            <w:tcW w:w="600" w:type="dxa"/>
            <w:tcMar>
              <w:bottom w:w="0" w:type="dxa"/>
            </w:tcMar>
          </w:tcPr>
          <w:p/>
        </w:tc>
        <w:tc>
          <w:tcPr>
            <w:tcW w:w="5250" w:type="dxa"/>
            <w:tcMar>
              <w:left w:w="0" w:type="dxa"/>
              <w:bottom w:w="0" w:type="dxa"/>
            </w:tcMar>
          </w:tcPr>
          <w:p>
            <w:pPr>
              <w:pStyle w:val="p"/>
              <w:numPr>
                <w:ilvl w:val="0"/>
                <w:numId w:val="6"/>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Basic Life Support (BLS) Certification</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CCE4F2" w:sz="0" w:space="0"/>
              <w:left w:val="none" w:color="CCE4F2" w:sz="0" w:space="0"/>
              <w:bottom w:val="single" w:color="CCE4F2" w:sz="16" w:space="0"/>
              <w:right w:val="none" w:color="CCE4F2"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Chemotherapy Safety Improvement Program, Supported oncology teams in improving chemotherapy handling and patient monitoring processes during travel assignments. Cancer Patient Education Initiative, Developed simple patient education material focusing on chemotherapy side effects and home care management.</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CCE4F2" w:sz="0" w:space="0"/>
              <w:left w:val="none" w:color="CCE4F2" w:sz="0" w:space="0"/>
              <w:bottom w:val="single" w:color="CCE4F2" w:sz="16" w:space="0"/>
              <w:right w:val="none" w:color="CCE4F2"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7"/>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at Tata Memorial Hospital for safe chemotherapy administration with zero medication incidents.</w:t>
      </w:r>
    </w:p>
    <w:p>
      <w:pPr>
        <w:pStyle w:val="skn-slo7ulli"/>
        <w:numPr>
          <w:ilvl w:val="0"/>
          <w:numId w:val="7"/>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by Apollo Hospitals for consistent patient counseling and emotional support to long-term cancer patients.</w:t>
      </w:r>
    </w:p>
    <w:p>
      <w:pPr>
        <w:pStyle w:val="skn-slo7ullinth-last-child1"/>
        <w:numPr>
          <w:ilvl w:val="0"/>
          <w:numId w:val="7"/>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Acknowledged for maintaining high infection control compliance in oncology wards during multiple assignments.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CCE4F2" w:sz="0" w:space="0"/>
              <w:left w:val="none" w:color="CCE4F2" w:sz="0" w:space="0"/>
              <w:bottom w:val="single" w:color="CCE4F2" w:sz="16" w:space="0"/>
              <w:right w:val="none" w:color="CCE4F2"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72050FFB-F10C-4D5F-80C4-246BD6585E6A}"/>
    <w:embedBold r:id="rId2" w:fontKey="{116867CA-E5A2-4C3B-B322-A5C80B56B6AA}"/>
  </w:font>
  <w:font w:name="Open Sans">
    <w:charset w:val="00"/>
    <w:family w:val="auto"/>
    <w:pitch w:val="default"/>
    <w:embedRegular r:id="rId3" w:fontKey="{404FAAAB-4C92-418B-917B-435657B2EF6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0077C0"/>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0077C0"/>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Ritu Sharma</dc:title>
  <cp:revision>0</cp:revision>
</cp:coreProperties>
</file>