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a="http://schemas.openxmlformats.org/drawingml/2006/main" xmlns:pic="http://schemas.openxmlformats.org/drawingml/2006/picture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slo7top-left-box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240" w:type="dxa"/>
              <w:right w:w="133" w:type="dxa"/>
            </w:tcMar>
            <w:vAlign w:val="top"/>
            <w:hideMark/>
          </w:tcPr>
          <w:p>
            <w:pPr>
              <w:pStyle w:val="skn-slo7name"/>
              <w:pBdr>
                <w:top w:val="none" w:color="auto" w:sz="0" w:space="5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/>
              <w:ind w:left="0" w:right="400"/>
              <w:rPr>
                <w:rStyle w:val="skn-slo7top-left-boxname-sec"/>
                <w:rFonts w:ascii="Poppins" w:hAnsi="Poppins" w:eastAsia="Poppins" w:cs="Poppins"/>
                <w:b/>
                <w:bCs/>
                <w:color w:val="050505"/>
                <w:sz w:val="56"/>
                <w:szCs w:val="56"/>
                <w:bdr w:val="none" w:color="auto" w:sz="0" w:space="0"/>
                <w:vertAlign w:val="baseline"/>
              </w:rPr>
            </w:pPr>
            <w:r>
              <w:rPr>
                <w:rStyle w:val="span"/>
                <w:b/>
                <w:bCs/>
                <w:color w:val="050505"/>
              </w:rPr>
              <w:t>Rohit</w:t>
            </w:r>
            <w:r>
              <w:rPr>
                <w:rStyle w:val="skn-slo7top-left-boxname-sec"/>
                <w:b/>
                <w:bCs/>
                <w:color w:val="050505"/>
                <w:bdr w:val="none" w:color="auto" w:sz="0" w:space="0"/>
                <w:vertAlign w:val="baseline"/>
              </w:rPr>
              <w:t xml:space="preserve"> </w:t>
            </w:r>
            <w:r>
              <w:rPr>
                <w:rStyle w:val="span"/>
                <w:b/>
                <w:bCs/>
                <w:color w:val="050505"/>
              </w:rPr>
              <w:t>Malhotra</w:t>
            </w:r>
          </w:p>
          <w:p>
            <w:pPr>
              <w:pStyle w:val="skn-slo7resume-title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/>
              <w:ind w:left="0" w:right="400"/>
              <w:rPr>
                <w:rStyle w:val="skn-slo7top-left-boxname-sec"/>
                <w:rFonts w:ascii="Poppins" w:hAnsi="Poppins" w:eastAsia="Poppins" w:cs="Poppins"/>
                <w:b w:val="0"/>
                <w:bCs w:val="0"/>
                <w:color w:val="696969"/>
                <w:spacing w:val="5"/>
                <w:bdr w:val="none" w:color="auto" w:sz="0" w:space="0"/>
                <w:vertAlign w:val="baseline"/>
              </w:rPr>
            </w:pPr>
            <w:r>
              <w:rPr>
                <w:rStyle w:val="span"/>
                <w:b w:val="0"/>
                <w:bCs w:val="0"/>
              </w:rPr>
              <w:t>Financial Writer</w:t>
            </w:r>
          </w:p>
          <w:p>
            <w:pPr>
              <w:pStyle w:val="skn-slo7top-left-boxname-sec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400"/>
              <w:textAlignment w:val="auto"/>
              <w:rPr>
                <w:rStyle w:val="skn-slo7top-left-boxname-sec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rPr>
          <w:vanish/>
        </w:rPr>
      </w:pPr>
    </w:p>
    <w:tbl>
      <w:tblPr>
        <w:tblStyle w:val="skn-slo7cntc-container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240" w:type="dxa"/>
              <w:right w:w="0" w:type="dxa"/>
            </w:tcMar>
            <w:vAlign w:val="bottom"/>
            <w:hideMark/>
          </w:tcPr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88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58240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+91 98765 43210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4074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59264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rohit.malhotra@example.com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4102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60288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Mumbai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,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Maharashtra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400053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40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61312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12 July 1993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rPr>
          <w:vanish/>
        </w:rPr>
      </w:pPr>
    </w:p>
    <w:tbl>
      <w:tblPr>
        <w:tblStyle w:val="skn-slo7par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421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par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Professional Summary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p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Experienced in crafting engaging and accurate content, leveraging skills in market analysis and financial reporting to drive reader understanding and engagement. Skilled in editorial coordination and compliance awareness, with a background in simplifying complex investment concepts. Dedicated to producing insightful articles that track economic trends.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par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251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0"/>
                <w:szCs w:val="0"/>
                <w:bdr w:val="none" w:color="auto" w:sz="0" w:space="0"/>
                <w:vertAlign w:val="baseline"/>
              </w:rPr>
            </w:pPr>
            <w:r>
              <w:rPr>
                <w:rStyle w:val="skn-slo7par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Skills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sectionskillsinglecolumn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768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Financial Content Writing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637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Equity Research Writing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1895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Market Analysis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213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Financial Reporting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397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Investment Concepts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228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Data Interpretation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471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Editorial Coordination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591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Compliance Awareness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238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Economic Research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1865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Content Editing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3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967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Experience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tbl-upper"/>
        <w:spacing w:after="0" w:line="300" w:lineRule="atLeast"/>
        <w:ind w:left="0" w:right="0"/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txt-caps"/>
          <w:rFonts w:ascii="Poppins" w:hAnsi="Poppins" w:eastAsia="Poppins" w:cs="Poppins"/>
          <w:b/>
          <w:bCs/>
          <w:caps/>
          <w:color w:val="050505"/>
          <w:sz w:val="20"/>
          <w:szCs w:val="20"/>
        </w:rPr>
        <w:t>Senior Financial Writer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, </w:t>
      </w:r>
      <w:r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Mumbai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,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Maharashtra</w:t>
      </w:r>
      <w:r>
        <w:rPr>
          <w:rStyle w:val="skn-slo7mrl-4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 </w:t>
      </w:r>
    </w:p>
    <w:p>
      <w:pPr>
        <w:pStyle w:val="skn-slo7disp-block"/>
        <w:spacing w:before="40" w:after="0" w:line="300" w:lineRule="atLeast"/>
        <w:ind w:left="0" w:right="0"/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Moneycontrol</w:t>
      </w: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,</w:t>
      </w:r>
      <w:r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April 2021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-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Present</w:t>
      </w:r>
    </w:p>
    <w:tbl>
      <w:tblPr>
        <w:tblStyle w:val="skn-slo7expr-secparagraphsinglecolumncontent-table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16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ulli"/>
              <w:numPr>
                <w:ilvl w:val="0"/>
                <w:numId w:val="1"/>
              </w:numPr>
              <w:spacing w:before="0"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Wrote daily market analysis articles covering equity, debt, and macroeconomic developments for Indian investors.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Interpreted financial statements and analyst reports to create simplified investment-focused content.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Coordinated with editorial teams to plan content calendars aligned with market events.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Reviewed financial news for accuracy, compliance, and alignment with SEBI communication guidelines.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Conducted interviews with market experts and converted insights into reader-friendly articles.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Edited junior writers' drafts to improve clarity, tone, and factual accuracy.</w:t>
            </w:r>
          </w:p>
          <w:p>
            <w:pPr>
              <w:pStyle w:val="skn-slo7ullinth-last-child1"/>
              <w:numPr>
                <w:ilvl w:val="0"/>
                <w:numId w:val="1"/>
              </w:numPr>
              <w:spacing w:after="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Tracked market trends to suggest relevant content ideas for digital platforms.</w:t>
            </w:r>
          </w:p>
          <w:p>
            <w:pPr>
              <w:pStyle w:val="skn-slo7expr-secparagraphsinglecolumncontent-tablecontentcell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0"/>
              <w:textAlignment w:val="auto"/>
              <w:rPr>
                <w:rStyle w:val="skn-slo7expr-secparagraphsinglecolumncontent-tablecontentcell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1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tbl-upper"/>
        <w:spacing w:after="0" w:line="300" w:lineRule="atLeast"/>
        <w:ind w:left="0" w:right="0"/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txt-caps"/>
          <w:rFonts w:ascii="Poppins" w:hAnsi="Poppins" w:eastAsia="Poppins" w:cs="Poppins"/>
          <w:b/>
          <w:bCs/>
          <w:caps/>
          <w:color w:val="050505"/>
          <w:sz w:val="20"/>
          <w:szCs w:val="20"/>
        </w:rPr>
        <w:t>Financial Writer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, </w:t>
      </w:r>
      <w:r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New Delhi</w:t>
      </w:r>
      <w:r>
        <w:rPr>
          <w:rStyle w:val="skn-slo7mrl-4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 </w:t>
      </w:r>
    </w:p>
    <w:p>
      <w:pPr>
        <w:pStyle w:val="skn-slo7disp-block"/>
        <w:spacing w:before="40" w:after="0" w:line="300" w:lineRule="atLeast"/>
        <w:ind w:left="0" w:right="0"/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The Economic Times</w:t>
      </w: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,</w:t>
      </w:r>
      <w:r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January 2019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-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March 2021</w:t>
      </w:r>
    </w:p>
    <w:tbl>
      <w:tblPr>
        <w:tblStyle w:val="skn-slo7expr-secparagraphsinglecolumncontent-table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16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ulli"/>
              <w:numPr>
                <w:ilvl w:val="0"/>
                <w:numId w:val="2"/>
              </w:numPr>
              <w:spacing w:before="0"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Prepared finance articles on mutual funds, taxation, and personal finance products.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Summarized quarterly results and earnings calls into concise reports for retail readers.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Researched economic indicators and policy updates affecting Indian financial markets.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Worked with editors to refine headlines and structure for better reader engagement.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Ensured financial data accuracy through cross-verification with reliable sources.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Maintained consistency in financial terminology and editorial standards.</w:t>
            </w:r>
          </w:p>
          <w:p>
            <w:pPr>
              <w:pStyle w:val="skn-slo7ullinth-last-child1"/>
              <w:numPr>
                <w:ilvl w:val="0"/>
                <w:numId w:val="2"/>
              </w:numPr>
              <w:spacing w:after="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Supported special features on budgeting, savings, and long-term investment planning.</w:t>
            </w:r>
          </w:p>
          <w:p>
            <w:pPr>
              <w:pStyle w:val="skn-slo7expr-secparagraphsinglecolumncontent-tablecontentcell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0"/>
              <w:textAlignment w:val="auto"/>
              <w:rPr>
                <w:rStyle w:val="skn-slo7expr-secparagraphsinglecolumncontent-tablecontentcell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54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0"/>
                <w:szCs w:val="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Education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edu-secsinglecolumnpaddedlinedegree-details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80"/>
        <w:gridCol w:w="1820"/>
        <w:gridCol w:w="11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380" w:type="dxa"/>
            <w:tcMar>
              <w:top w:w="0" w:type="dxa"/>
              <w:left w:w="0" w:type="dxa"/>
              <w:bottom w:w="0" w:type="dxa"/>
              <w:right w:w="200" w:type="dxa"/>
            </w:tcMar>
            <w:vAlign w:val="bottom"/>
            <w:hideMark/>
          </w:tcPr>
          <w:p>
            <w:pPr>
              <w:pStyle w:val="skn-slo7edu-secparagraphany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300" w:lineRule="atLeast"/>
              <w:ind w:left="0" w:right="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10th Standard</w:t>
            </w:r>
          </w:p>
          <w:p>
            <w:pPr>
              <w:pStyle w:val="skn-slo7edu-secparagraphany"/>
              <w:spacing w:before="40" w:after="0" w:line="300" w:lineRule="atLeast"/>
              <w:ind w:left="0" w:right="60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St. Xavier's High School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,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50505"/>
              </w:rPr>
              <w:t> 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March 2008</w:t>
            </w:r>
          </w:p>
        </w:tc>
        <w:tc>
          <w:tcPr>
            <w:tcW w:w="18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400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0"/>
              <w:jc w:val="right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</w:p>
        </w:tc>
      </w:tr>
    </w:tbl>
    <w:p>
      <w:pPr>
        <w:pStyle w:val="skn-slo7edu-secparagraphany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bdr w:val="none" w:color="auto" w:sz="0" w:space="0"/>
          <w:vertAlign w:val="baseline"/>
        </w:rPr>
        <w:t> </w:t>
      </w:r>
    </w:p>
    <w:tbl>
      <w:tblPr>
        <w:tblStyle w:val="skn-slo7edu-secsinglecolumnpaddedlinedegree-details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80"/>
        <w:gridCol w:w="1820"/>
        <w:gridCol w:w="11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380" w:type="dxa"/>
            <w:tcMar>
              <w:top w:w="0" w:type="dxa"/>
              <w:left w:w="0" w:type="dxa"/>
              <w:bottom w:w="0" w:type="dxa"/>
              <w:right w:w="200" w:type="dxa"/>
            </w:tcMar>
            <w:vAlign w:val="bottom"/>
            <w:hideMark/>
          </w:tcPr>
          <w:p>
            <w:pPr>
              <w:pStyle w:val="skn-slo7edu-secparagraphany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300" w:lineRule="atLeast"/>
              <w:ind w:left="0" w:right="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12th Standard</w:t>
            </w:r>
          </w:p>
          <w:p>
            <w:pPr>
              <w:pStyle w:val="skn-slo7edu-secparagraphany"/>
              <w:spacing w:before="40" w:after="0" w:line="300" w:lineRule="atLeast"/>
              <w:ind w:left="0" w:right="60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St. Xavier's Junior College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,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50505"/>
              </w:rPr>
              <w:t> 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March 2010</w:t>
            </w:r>
          </w:p>
        </w:tc>
        <w:tc>
          <w:tcPr>
            <w:tcW w:w="18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400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0"/>
              <w:jc w:val="right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</w:p>
        </w:tc>
      </w:tr>
    </w:tbl>
    <w:p>
      <w:pPr>
        <w:pStyle w:val="skn-slo7edu-secparagraphany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bdr w:val="none" w:color="auto" w:sz="0" w:space="0"/>
          <w:vertAlign w:val="baseline"/>
        </w:rPr>
        <w:t> </w:t>
      </w:r>
    </w:p>
    <w:tbl>
      <w:tblPr>
        <w:tblStyle w:val="skn-slo7edu-secsinglecolumnpaddedlinedegree-details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80"/>
        <w:gridCol w:w="1820"/>
        <w:gridCol w:w="11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380" w:type="dxa"/>
            <w:tcMar>
              <w:top w:w="0" w:type="dxa"/>
              <w:left w:w="0" w:type="dxa"/>
              <w:bottom w:w="0" w:type="dxa"/>
              <w:right w:w="200" w:type="dxa"/>
            </w:tcMar>
            <w:vAlign w:val="bottom"/>
            <w:hideMark/>
          </w:tcPr>
          <w:p>
            <w:pPr>
              <w:pStyle w:val="skn-slo7edu-secparagraphany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300" w:lineRule="atLeast"/>
              <w:ind w:left="0" w:right="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Bachelor of Commerce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 xml:space="preserve"> in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Finance</w:t>
            </w:r>
          </w:p>
          <w:p>
            <w:pPr>
              <w:pStyle w:val="skn-slo7edu-secparagraphany"/>
              <w:spacing w:before="40" w:after="0" w:line="300" w:lineRule="atLeast"/>
              <w:ind w:left="0" w:right="60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University of Mumbai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,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50505"/>
              </w:rPr>
              <w:t> 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May 2013</w:t>
            </w:r>
          </w:p>
        </w:tc>
        <w:tc>
          <w:tcPr>
            <w:tcW w:w="18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400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0"/>
              <w:jc w:val="right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</w:p>
        </w:tc>
      </w:tr>
    </w:tbl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3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293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Certifications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W w:w="11100" w:type="dxa"/>
        <w:jc w:val="left"/>
        <w:tblInd w:w="220" w:type="dxa"/>
        <w:tblCellMar>
          <w:left w:w="108" w:type="dxa"/>
          <w:right w:w="108" w:type="dxa"/>
        </w:tblCellMar>
      </w:tblPr>
      <w:tblGrid>
        <w:gridCol w:w="5160"/>
        <w:gridCol w:w="781"/>
        <w:gridCol w:w="5160"/>
      </w:tblGrid>
      <w:tr>
        <w:tblPrEx>
          <w:tblW w:w="11100" w:type="dxa"/>
          <w:jc w:val="left"/>
          <w:tblInd w:w="22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5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280" w:lineRule="atLeast"/>
              <w:ind w:left="360" w:right="0" w:hanging="360"/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NISM Series VIII – Equity Derivatives Certification</w:t>
            </w:r>
          </w:p>
        </w:tc>
        <w:tc>
          <w:tcPr>
            <w:tcW w:w="600" w:type="dxa"/>
            <w:tcMar>
              <w:bottom w:w="0" w:type="dxa"/>
            </w:tcMar>
          </w:tcPr>
          <w:p/>
        </w:tc>
        <w:tc>
          <w:tcPr>
            <w:tcW w:w="525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280" w:lineRule="atLeast"/>
              <w:ind w:left="360" w:right="0" w:hanging="360"/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NISM Series V-A – Mutual Fund Distributors Certification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609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Projects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singlecolumn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Equity Market Weekly Report: Created weekly summaries explaining market movements and sector performance for retail investors. Personal Finance Guide Series: Developed articles on savings, insurance, and retirement planning for salaried professionals.</w:t>
      </w:r>
    </w:p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878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Accomplishments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ulli"/>
        <w:numPr>
          <w:ilvl w:val="0"/>
          <w:numId w:val="5"/>
        </w:numPr>
        <w:spacing w:before="0" w:after="80" w:line="280" w:lineRule="atLeast"/>
        <w:ind w:left="560" w:right="0" w:hanging="36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Recognized at Moneycontrol for high readership growth on market analysis articles.</w:t>
      </w:r>
    </w:p>
    <w:p>
      <w:pPr>
        <w:pStyle w:val="skn-slo7ulli"/>
        <w:numPr>
          <w:ilvl w:val="0"/>
          <w:numId w:val="5"/>
        </w:numPr>
        <w:spacing w:after="80" w:line="280" w:lineRule="atLeast"/>
        <w:ind w:left="560" w:right="0" w:hanging="36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Received editorial appreciation at The Economic Times for accurate earnings coverage.</w:t>
      </w:r>
    </w:p>
    <w:p>
      <w:pPr>
        <w:pStyle w:val="skn-slo7ullinth-last-child1"/>
        <w:numPr>
          <w:ilvl w:val="0"/>
          <w:numId w:val="5"/>
        </w:numPr>
        <w:spacing w:after="0" w:line="280" w:lineRule="atLeast"/>
        <w:ind w:left="560" w:right="0" w:hanging="36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Contributed to a special investment series that increased subscriber engagement.</w:t>
      </w:r>
    </w:p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987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References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sectionrefer-secparagraphrefUponReq"/>
        <w:pBdr>
          <w:bottom w:val="none" w:color="auto" w:sz="0" w:space="20"/>
        </w:pBdr>
        <w:spacing w:before="0" w:line="280" w:lineRule="atLeast"/>
        <w:ind w:left="0" w:right="0"/>
        <w:textAlignment w:val="top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refer-secparagraphany"/>
          <w:rFonts w:ascii="Open Sans" w:hAnsi="Open Sans" w:eastAsia="Open Sans" w:cs="Open Sans"/>
          <w:b w:val="0"/>
          <w:bCs w:val="0"/>
          <w:color w:val="050505"/>
        </w:rPr>
        <w:t>References available upon request</w:t>
      </w: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</w:p>
    <w:p>
      <w:pPr>
        <w:pStyle w:val="skn-slo7refer-secparagraphany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bdr w:val="none" w:color="auto" w:sz="0" w:space="0"/>
          <w:vertAlign w:val="baseline"/>
        </w:rPr>
        <w:t> </w:t>
      </w:r>
    </w:p>
    <w:sectPr>
      <w:pgSz w:w="12240" w:h="15840"/>
      <w:pgMar w:top="460" w:right="460" w:bottom="460" w:left="46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oppins">
    <w:charset w:val="00"/>
    <w:family w:val="auto"/>
    <w:pitch w:val="default"/>
    <w:sig w:usb0="00000000" w:usb1="00000000" w:usb2="00000000" w:usb3="00000000" w:csb0="00000001" w:csb1="00000000"/>
    <w:embedRegular r:id="rId1" w:fontKey="{36922C60-3B97-4599-A4C1-8404668B76C1}"/>
    <w:embedBold r:id="rId2" w:fontKey="{055BE411-4FC2-416A-AB07-36E45D0BAB76}"/>
  </w:font>
  <w:font w:name="Open Sans">
    <w:charset w:val="00"/>
    <w:family w:val="auto"/>
    <w:pitch w:val="default"/>
    <w:embedRegular r:id="rId3" w:fontKey="{6785056D-3892-43D9-806B-A5937A827350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o7pagesize">
    <w:name w:val="skn-slo7_pagesize"/>
    <w:basedOn w:val="Normal"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skn-slo7top-left-boxname-sec">
    <w:name w:val="skn-slo7_top-left-box_name-sec"/>
    <w:basedOn w:val="DefaultParagraphFont"/>
  </w:style>
  <w:style w:type="paragraph" w:customStyle="1" w:styleId="skn-slo7firstparagraph">
    <w:name w:val="skn-slo7_firstparagraph"/>
    <w:basedOn w:val="Normal"/>
  </w:style>
  <w:style w:type="paragraph" w:customStyle="1" w:styleId="skn-slo7name">
    <w:name w:val="skn-slo7_name"/>
    <w:basedOn w:val="Normal"/>
    <w:pPr>
      <w:pBdr>
        <w:top w:val="none" w:sz="0" w:space="5" w:color="auto"/>
      </w:pBdr>
      <w:spacing w:line="840" w:lineRule="atLeast"/>
    </w:pPr>
    <w:rPr>
      <w:rFonts w:ascii="Poppins" w:eastAsia="Poppins" w:hAnsi="Poppins" w:cs="Poppins"/>
      <w:b/>
      <w:bCs/>
      <w:sz w:val="56"/>
      <w:szCs w:val="56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skn-slo7resume-title">
    <w:name w:val="skn-slo7_resume-title"/>
    <w:basedOn w:val="Normal"/>
    <w:pPr>
      <w:spacing w:line="360" w:lineRule="atLeast"/>
    </w:pPr>
    <w:rPr>
      <w:rFonts w:ascii="Poppins" w:eastAsia="Poppins" w:hAnsi="Poppins" w:cs="Poppins"/>
      <w:color w:val="696969"/>
      <w:spacing w:val="5"/>
      <w:sz w:val="24"/>
      <w:szCs w:val="24"/>
    </w:rPr>
  </w:style>
  <w:style w:type="paragraph" w:customStyle="1" w:styleId="skn-slo7top-left-boxname-secParagraph">
    <w:name w:val="skn-slo7_top-left-box_name-sec Paragraph"/>
    <w:basedOn w:val="Normal"/>
    <w:pPr>
      <w:pBdr>
        <w:bottom w:val="none" w:sz="0" w:space="12" w:color="auto"/>
        <w:right w:val="none" w:sz="0" w:space="6" w:color="auto"/>
      </w:pBdr>
      <w:textAlignment w:val="top"/>
    </w:pPr>
  </w:style>
  <w:style w:type="table" w:customStyle="1" w:styleId="skn-slo7top-left-box">
    <w:name w:val="skn-slo7_top-left-box"/>
    <w:basedOn w:val="TableNormal"/>
    <w:tblPr/>
  </w:style>
  <w:style w:type="character" w:customStyle="1" w:styleId="skn-slo7cntc-secsection">
    <w:name w:val="skn-slo7_cntc-sec_section"/>
    <w:basedOn w:val="DefaultParagraphFont"/>
    <w:rPr>
      <w:sz w:val="0"/>
      <w:szCs w:val="0"/>
    </w:rPr>
  </w:style>
  <w:style w:type="paragraph" w:customStyle="1" w:styleId="skn-slo7cntc-secparagraphany">
    <w:name w:val="skn-slo7_cntc-sec_paragraph_any"/>
    <w:basedOn w:val="Normal"/>
    <w:rPr>
      <w:sz w:val="20"/>
      <w:szCs w:val="20"/>
    </w:rPr>
  </w:style>
  <w:style w:type="paragraph" w:customStyle="1" w:styleId="skn-slo7addressaddr-details">
    <w:name w:val="skn-slo7_address_addr-details"/>
    <w:basedOn w:val="Normal"/>
  </w:style>
  <w:style w:type="character" w:customStyle="1" w:styleId="skn-slo7cntc-secparagraphanyCharacter">
    <w:name w:val="skn-slo7_cntc-sec_paragraph_any Character"/>
    <w:basedOn w:val="DefaultParagraphFont"/>
    <w:rPr>
      <w:sz w:val="20"/>
      <w:szCs w:val="20"/>
    </w:rPr>
  </w:style>
  <w:style w:type="paragraph" w:customStyle="1" w:styleId="skn-slo7cntc-secsectionParagraph">
    <w:name w:val="skn-slo7_cntc-sec_section Paragraph"/>
    <w:basedOn w:val="Normal"/>
    <w:rPr>
      <w:sz w:val="0"/>
      <w:szCs w:val="0"/>
    </w:rPr>
  </w:style>
  <w:style w:type="table" w:customStyle="1" w:styleId="skn-slo7cntc-container">
    <w:name w:val="skn-slo7_cntc-container"/>
    <w:basedOn w:val="TableNormal"/>
    <w:tblPr/>
  </w:style>
  <w:style w:type="paragraph" w:customStyle="1" w:styleId="skn-slo7parent-containersectionnth-child1">
    <w:name w:val="skn-slo7_parent-container_section_nth-child(1)"/>
    <w:basedOn w:val="Normal"/>
  </w:style>
  <w:style w:type="character" w:customStyle="1" w:styleId="skn-slo7parent-containerheadingsectiontitle">
    <w:name w:val="skn-slo7_parent-container_heading_sectiontitle"/>
    <w:basedOn w:val="DefaultParagraphFont"/>
  </w:style>
  <w:style w:type="table" w:customStyle="1" w:styleId="skn-slo7parent-containerheading">
    <w:name w:val="skn-slo7_parent-container_heading"/>
    <w:basedOn w:val="TableNormal"/>
    <w:tblPr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skn-slo7singlecolumn">
    <w:name w:val="skn-slo7_singlecolumn"/>
    <w:basedOn w:val="Normal"/>
    <w:pPr>
      <w:pBdr>
        <w:left w:val="none" w:sz="0" w:space="0" w:color="auto"/>
      </w:pBdr>
    </w:p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7skillsection">
    <w:name w:val="skn-slo7_skill_section"/>
    <w:basedOn w:val="Normal"/>
    <w:rPr>
      <w:sz w:val="0"/>
      <w:szCs w:val="0"/>
    </w:rPr>
  </w:style>
  <w:style w:type="character" w:customStyle="1" w:styleId="skn-slo7sectionskillsinglecolumnskill-container">
    <w:name w:val="skn-slo7_section_skill_singlecolumn_skill-container"/>
    <w:basedOn w:val="DefaultParagraphFont"/>
  </w:style>
  <w:style w:type="character" w:customStyle="1" w:styleId="skn-slo7skillparagraph">
    <w:name w:val="skn-slo7_skill_paragraph"/>
    <w:basedOn w:val="DefaultParagraphFont"/>
  </w:style>
  <w:style w:type="character" w:customStyle="1" w:styleId="skn-slo7skillparagraphany">
    <w:name w:val="skn-slo7_skill_paragraph_any"/>
    <w:basedOn w:val="DefaultParagraphFont"/>
    <w:rPr>
      <w:sz w:val="20"/>
      <w:szCs w:val="20"/>
    </w:rPr>
  </w:style>
  <w:style w:type="paragraph" w:customStyle="1" w:styleId="skn-slo7skillparagraphanyParagraph">
    <w:name w:val="skn-slo7_skill_paragraph_any Paragraph"/>
    <w:basedOn w:val="Normal"/>
    <w:rPr>
      <w:sz w:val="20"/>
      <w:szCs w:val="20"/>
    </w:rPr>
  </w:style>
  <w:style w:type="paragraph" w:customStyle="1" w:styleId="skn-slo7sectionskillsinglecolumnskill-containerParagraph">
    <w:name w:val="skn-slo7_section_skill_singlecolumn_skill-container Paragraph"/>
    <w:basedOn w:val="Normal"/>
  </w:style>
  <w:style w:type="table" w:customStyle="1" w:styleId="skn-slo7sectionskillsinglecolumn">
    <w:name w:val="skn-slo7_section_skill_singlecolumn"/>
    <w:basedOn w:val="TableNormal"/>
    <w:tblPr/>
  </w:style>
  <w:style w:type="paragraph" w:customStyle="1" w:styleId="skn-slo7section">
    <w:name w:val="skn-slo7_section"/>
    <w:basedOn w:val="Normal"/>
  </w:style>
  <w:style w:type="character" w:customStyle="1" w:styleId="skn-slo7content-containerheadingsectiontitle">
    <w:name w:val="skn-slo7_content-container_heading_sectiontitle"/>
    <w:basedOn w:val="DefaultParagraphFont"/>
  </w:style>
  <w:style w:type="table" w:customStyle="1" w:styleId="skn-slo7content-containerheading">
    <w:name w:val="skn-slo7_content-container_heading"/>
    <w:basedOn w:val="TableNormal"/>
    <w:tblPr/>
  </w:style>
  <w:style w:type="character" w:customStyle="1" w:styleId="skn-slo7lrg-txt">
    <w:name w:val="skn-slo7_lrg-txt"/>
    <w:basedOn w:val="DefaultParagraphFont"/>
    <w:rPr>
      <w:rFonts w:ascii="Poppins" w:eastAsia="Poppins" w:hAnsi="Poppins" w:cs="Poppins"/>
    </w:rPr>
  </w:style>
  <w:style w:type="paragraph" w:customStyle="1" w:styleId="skn-slo7tbl-upper">
    <w:name w:val="skn-slo7_tbl-upper"/>
    <w:basedOn w:val="Normal"/>
    <w:rPr>
      <w:b/>
      <w:bCs/>
    </w:rPr>
  </w:style>
  <w:style w:type="character" w:customStyle="1" w:styleId="skn-slo7txt-caps">
    <w:name w:val="skn-slo7_txt-caps"/>
    <w:basedOn w:val="DefaultParagraphFont"/>
    <w:rPr>
      <w:caps/>
    </w:rPr>
  </w:style>
  <w:style w:type="character" w:customStyle="1" w:styleId="skn-slo7mrl-4">
    <w:name w:val="skn-slo7_mrl-4"/>
    <w:basedOn w:val="DefaultParagraphFont"/>
  </w:style>
  <w:style w:type="paragraph" w:customStyle="1" w:styleId="skn-slo7disp-block">
    <w:name w:val="skn-slo7_disp-block"/>
    <w:basedOn w:val="Normal"/>
  </w:style>
  <w:style w:type="character" w:customStyle="1" w:styleId="skn-slo7clr-pickr">
    <w:name w:val="skn-slo7_clr-pickr"/>
    <w:basedOn w:val="DefaultParagraphFont"/>
    <w:rPr>
      <w:color w:val="696969"/>
    </w:rPr>
  </w:style>
  <w:style w:type="character" w:customStyle="1" w:styleId="skn-slo7op-6">
    <w:name w:val="skn-slo7_op-6"/>
    <w:basedOn w:val="DefaultParagraphFont"/>
  </w:style>
  <w:style w:type="character" w:customStyle="1" w:styleId="skn-slo7fade-text">
    <w:name w:val="skn-slo7_fade-text"/>
    <w:basedOn w:val="DefaultParagraphFont"/>
    <w:rPr>
      <w:color w:val="696969"/>
    </w:rPr>
  </w:style>
  <w:style w:type="character" w:customStyle="1" w:styleId="skn-slo7expr-secparagraphsinglecolumncontent-tablecontentcell">
    <w:name w:val="skn-slo7_expr-sec_paragraph_singlecolumn_content-table_contentcell"/>
    <w:basedOn w:val="DefaultParagraphFont"/>
  </w:style>
  <w:style w:type="paragraph" w:customStyle="1" w:styleId="skn-slo7ulli">
    <w:name w:val="skn-slo7_ul_li"/>
    <w:basedOn w:val="Normal"/>
  </w:style>
  <w:style w:type="paragraph" w:customStyle="1" w:styleId="skn-slo7ullinth-last-child1">
    <w:name w:val="skn-slo7_ul_li_nth-last-child(1)"/>
    <w:basedOn w:val="Normal"/>
  </w:style>
  <w:style w:type="paragraph" w:customStyle="1" w:styleId="skn-slo7expr-secparagraphsinglecolumncontent-tablecontentcellParagraph">
    <w:name w:val="skn-slo7_expr-sec_paragraph_singlecolumn_content-table_contentcell Paragraph"/>
    <w:basedOn w:val="Normal"/>
    <w:pPr>
      <w:pBdr>
        <w:top w:val="none" w:sz="0" w:space="8" w:color="auto"/>
      </w:pBdr>
    </w:pPr>
  </w:style>
  <w:style w:type="table" w:customStyle="1" w:styleId="skn-slo7expr-secparagraphsinglecolumncontent-table">
    <w:name w:val="skn-slo7_expr-sec_paragraph_singlecolumn_content-table"/>
    <w:basedOn w:val="TableNormal"/>
    <w:tblPr/>
  </w:style>
  <w:style w:type="paragraph" w:customStyle="1" w:styleId="skn-slo7paragraph">
    <w:name w:val="skn-slo7_paragraph"/>
    <w:basedOn w:val="Normal"/>
  </w:style>
  <w:style w:type="character" w:customStyle="1" w:styleId="skn-slo7spanempty">
    <w:name w:val="skn-slo7_span_empty"/>
    <w:basedOn w:val="DefaultParagraphFont"/>
    <w:rPr>
      <w:vanish/>
    </w:rPr>
  </w:style>
  <w:style w:type="paragraph" w:customStyle="1" w:styleId="skn-slo7sectionnotpubl-secparagraphnth-last-child2space-after-paragraph">
    <w:name w:val="skn-slo7_section_not(.publ-sec)_paragraph_nth-last-child(2)_space-after-paragraph"/>
    <w:basedOn w:val="Normal"/>
    <w:rPr>
      <w:vanish/>
    </w:rPr>
  </w:style>
  <w:style w:type="paragraph" w:customStyle="1" w:styleId="skn-slo7edu-secsection">
    <w:name w:val="skn-slo7_edu-sec_section"/>
    <w:basedOn w:val="Normal"/>
    <w:rPr>
      <w:sz w:val="0"/>
      <w:szCs w:val="0"/>
    </w:rPr>
  </w:style>
  <w:style w:type="paragraph" w:customStyle="1" w:styleId="skn-slo7edu-secparagraphany">
    <w:name w:val="skn-slo7_edu-sec_paragraph_any"/>
    <w:basedOn w:val="Normal"/>
    <w:rPr>
      <w:sz w:val="20"/>
      <w:szCs w:val="20"/>
    </w:rPr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skn-slo7edu-secsinglecolumnpaddedlinedegree-detailsmxwid">
    <w:name w:val="skn-slo7_edu-sec_singlecolumn_paddedline_degree-details_mxwid"/>
    <w:basedOn w:val="DefaultParagraphFont"/>
  </w:style>
  <w:style w:type="character" w:customStyle="1" w:styleId="skn-slo7edu-secparagraphanyCharacter">
    <w:name w:val="skn-slo7_edu-sec_paragraph_any Character"/>
    <w:basedOn w:val="DefaultParagraphFont"/>
    <w:rPr>
      <w:sz w:val="20"/>
      <w:szCs w:val="20"/>
    </w:rPr>
  </w:style>
  <w:style w:type="character" w:customStyle="1" w:styleId="skn-slo7edu-secsinglecolumnpaddedlinedegree-detailsedu-padding-cell">
    <w:name w:val="skn-slo7_edu-sec_singlecolumn_paddedline_degree-details_edu-padding-cell"/>
    <w:basedOn w:val="DefaultParagraphFont"/>
  </w:style>
  <w:style w:type="paragraph" w:customStyle="1" w:styleId="skn-slo7edu-secsinglecolumnpaddedlinedegree-detailsedu-padding-cellParagraph">
    <w:name w:val="skn-slo7_edu-sec_singlecolumn_paddedline_degree-details_edu-padding-cell Paragraph"/>
    <w:basedOn w:val="Normal"/>
  </w:style>
  <w:style w:type="character" w:customStyle="1" w:styleId="skn-slo7edu-secsinglecolumnpaddedlinedegree-detailsgpa">
    <w:name w:val="skn-slo7_edu-sec_singlecolumn_paddedline_degree-details_gpa"/>
    <w:basedOn w:val="DefaultParagraphFont"/>
  </w:style>
  <w:style w:type="table" w:customStyle="1" w:styleId="skn-slo7edu-secsinglecolumnpaddedlinedegree-details">
    <w:name w:val="skn-slo7_edu-sec_singlecolumn_paddedline_degree-details"/>
    <w:basedOn w:val="TableNormal"/>
    <w:tblPr/>
  </w:style>
  <w:style w:type="paragraph" w:customStyle="1" w:styleId="skn-slo7edu-secsinglecolumntwo-col">
    <w:name w:val="skn-slo7_edu-sec_singlecolumn_two-col"/>
    <w:basedOn w:val="Normal"/>
  </w:style>
  <w:style w:type="paragraph" w:customStyle="1" w:styleId="skn-slo7twocolsectionparagraph">
    <w:name w:val="skn-slo7_twocolsection_paragraph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skn-slo7sectionrefer-secparagraphrefUponReq">
    <w:name w:val="skn-slo7_section_refer-sec_paragraph_refUponReq"/>
    <w:basedOn w:val="Normal"/>
  </w:style>
  <w:style w:type="character" w:customStyle="1" w:styleId="skn-slo7refer-secparagraphany">
    <w:name w:val="skn-slo7_refer-sec_paragraph_any"/>
    <w:basedOn w:val="DefaultParagraphFont"/>
    <w:rPr>
      <w:sz w:val="20"/>
      <w:szCs w:val="20"/>
    </w:rPr>
  </w:style>
  <w:style w:type="paragraph" w:customStyle="1" w:styleId="skn-slo7refer-secparagraphanyParagraph">
    <w:name w:val="skn-slo7_refer-sec_paragraph_any Paragraph"/>
    <w:basedOn w:val="Normal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Rohit Malhotra</dc:title>
  <cp:revision>0</cp:revision>
</cp:coreProperties>
</file>