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4top-section"/>
        <w:tblW w:w="0" w:type="auto"/>
        <w:tblCellSpacing w:w="0" w:type="dxa"/>
        <w:tblBorders>
          <w:bottom w:val="single" w:sz="8" w:space="0" w:color="929CA4"/>
        </w:tblBorders>
        <w:tblLayout w:type="fixed"/>
        <w:tblCellMar>
          <w:top w:w="0" w:type="dxa"/>
          <w:left w:w="0" w:type="dxa"/>
          <w:bottom w:w="0" w:type="dxa"/>
          <w:right w:w="0" w:type="dxa"/>
        </w:tblCellMar>
        <w:tblLook w:val="05E0"/>
      </w:tblPr>
      <w:tblGrid>
        <w:gridCol w:w="10520"/>
      </w:tblGrid>
      <w:tr>
        <w:tblPrEx>
          <w:tblW w:w="0" w:type="auto"/>
          <w:tblCellSpacing w:w="0" w:type="dxa"/>
          <w:tblBorders>
            <w:bottom w:val="single" w:sz="8" w:space="0" w:color="929CA4"/>
          </w:tblBorders>
          <w:tblLayout w:type="fixed"/>
          <w:tblCellMar>
            <w:top w:w="0" w:type="dxa"/>
            <w:left w:w="0" w:type="dxa"/>
            <w:bottom w:w="0" w:type="dxa"/>
            <w:right w:w="0" w:type="dxa"/>
          </w:tblCellMar>
          <w:tblLook w:val="05E0"/>
        </w:tblPrEx>
        <w:trPr>
          <w:tblCellSpacing w:w="0" w:type="dxa"/>
        </w:trPr>
        <w:tc>
          <w:tcPr>
            <w:tcW w:w="10520" w:type="dxa"/>
            <w:tcMar>
              <w:top w:w="0" w:type="dxa"/>
              <w:left w:w="0" w:type="dxa"/>
              <w:bottom w:w="340" w:type="dxa"/>
              <w:right w:w="0" w:type="dxa"/>
            </w:tcMar>
            <w:vAlign w:val="top"/>
            <w:hideMark/>
          </w:tcPr>
          <w:p>
            <w:pPr>
              <w:pStyle w:val="skn-slo4name"/>
              <w:pBdr>
                <w:top w:val="none" w:sz="0" w:space="0" w:color="auto"/>
                <w:left w:val="none" w:sz="0" w:space="0" w:color="auto"/>
                <w:bottom w:val="none" w:sz="0" w:space="0" w:color="auto"/>
                <w:right w:val="none" w:sz="0" w:space="0" w:color="auto"/>
              </w:pBdr>
              <w:spacing w:before="0" w:after="0"/>
              <w:ind w:left="0" w:right="0"/>
              <w:rPr>
                <w:rStyle w:val="skn-slo4right-box"/>
                <w:rFonts w:ascii="Open Sans" w:eastAsia="Open Sans" w:hAnsi="Open Sans" w:cs="Open Sans"/>
                <w:b/>
                <w:bCs/>
                <w:caps/>
                <w:color w:val="929CA4"/>
                <w:spacing w:val="16"/>
                <w:sz w:val="48"/>
                <w:szCs w:val="48"/>
                <w:bdr w:val="none" w:sz="0" w:space="0" w:color="auto"/>
                <w:vertAlign w:val="baseline"/>
              </w:rPr>
            </w:pPr>
            <w:r>
              <w:rPr>
                <w:rStyle w:val="span"/>
                <w:rFonts w:ascii="Open Sans" w:eastAsia="Open Sans" w:hAnsi="Open Sans" w:cs="Open Sans"/>
                <w:b/>
                <w:bCs/>
                <w:caps/>
              </w:rPr>
              <w:t>Rohan</w:t>
            </w:r>
            <w:r>
              <w:rPr>
                <w:rStyle w:val="skn-slo4right-box"/>
                <w:rFonts w:ascii="Open Sans" w:eastAsia="Open Sans" w:hAnsi="Open Sans" w:cs="Open Sans"/>
                <w:b/>
                <w:bCs/>
                <w:caps/>
                <w:bdr w:val="none" w:sz="0" w:space="0" w:color="auto"/>
                <w:vertAlign w:val="baseline"/>
              </w:rPr>
              <w:t xml:space="preserve"> </w:t>
            </w:r>
            <w:r>
              <w:rPr>
                <w:rStyle w:val="span"/>
                <w:rFonts w:ascii="Open Sans" w:eastAsia="Open Sans" w:hAnsi="Open Sans" w:cs="Open Sans"/>
                <w:b/>
                <w:bCs/>
                <w:caps/>
              </w:rPr>
              <w:t>Malhotra</w:t>
            </w:r>
          </w:p>
          <w:p>
            <w:pPr>
              <w:pStyle w:val="skn-slo4resume-title"/>
              <w:pBdr>
                <w:top w:val="none" w:sz="0" w:space="0" w:color="auto"/>
                <w:left w:val="none" w:sz="0" w:space="0" w:color="auto"/>
                <w:bottom w:val="none" w:sz="0" w:space="0" w:color="auto"/>
                <w:right w:val="none" w:sz="0" w:space="0" w:color="auto"/>
              </w:pBdr>
              <w:spacing w:before="40" w:after="0"/>
              <w:ind w:left="0" w:right="0"/>
              <w:rPr>
                <w:rStyle w:val="skn-slo4right-box"/>
                <w:rFonts w:ascii="Open Sans" w:eastAsia="Open Sans" w:hAnsi="Open Sans" w:cs="Open Sans"/>
                <w:b/>
                <w:bCs/>
                <w:color w:val="050505"/>
                <w:spacing w:val="16"/>
                <w:sz w:val="26"/>
                <w:szCs w:val="26"/>
                <w:bdr w:val="none" w:sz="0" w:space="0" w:color="auto"/>
                <w:vertAlign w:val="baseline"/>
              </w:rPr>
            </w:pPr>
            <w:r>
              <w:rPr>
                <w:rStyle w:val="span"/>
                <w:rFonts w:ascii="Open Sans" w:eastAsia="Open Sans" w:hAnsi="Open Sans" w:cs="Open Sans"/>
                <w:b/>
                <w:bCs/>
                <w:color w:val="050505"/>
              </w:rPr>
              <w:t>Director of Business Development</w:t>
            </w:r>
          </w:p>
          <w:p>
            <w:pPr>
              <w:pBdr>
                <w:top w:val="none" w:sz="0" w:space="11" w:color="auto"/>
                <w:left w:val="none" w:sz="0" w:space="0" w:color="auto"/>
                <w:bottom w:val="none" w:sz="0" w:space="0" w:color="auto"/>
                <w:right w:val="none" w:sz="0" w:space="0" w:color="auto"/>
              </w:pBdr>
              <w:spacing w:line="360" w:lineRule="exact"/>
              <w:ind w:left="0" w:right="0"/>
              <w:textAlignment w:val="auto"/>
              <w:rPr>
                <w:rStyle w:val="span"/>
                <w:rFonts w:ascii="Open Sans" w:eastAsia="Open Sans" w:hAnsi="Open Sans" w:cs="Open Sans"/>
                <w:b w:val="0"/>
                <w:bCs w:val="0"/>
                <w:color w:val="050505"/>
                <w:sz w:val="20"/>
                <w:szCs w:val="20"/>
              </w:rPr>
            </w:pP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+91</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98765</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43210</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xml:space="preserve"> </w:t>
            </w:r>
            <w:r>
              <w:rPr>
                <w:rStyle w:val="skn-slo4right-box"/>
                <w:rFonts w:ascii="Open Sans" w:eastAsia="Open Sans" w:hAnsi="Open Sans" w:cs="Open Sans"/>
                <w:b w:val="0"/>
                <w:bCs w:val="0"/>
                <w:color w:val="050505"/>
                <w:sz w:val="20"/>
                <w:szCs w:val="20"/>
                <w:bdr w:val="none" w:sz="0" w:space="0" w:color="auto"/>
                <w:vertAlign w:val="baseline"/>
              </w:rPr>
              <w:t> </w:t>
            </w:r>
            <w:r>
              <w:rPr>
                <w:rStyle w:val="divaddresslispanbluebullet"/>
                <w:b w:val="0"/>
                <w:bCs w:val="0"/>
                <w:vertAlign w:val="baseline"/>
              </w:rPr>
              <w:t>·</w:t>
            </w:r>
            <w:r>
              <w:rPr>
                <w:rStyle w:val="divaddresslispanbluebullet"/>
                <w:rFonts w:ascii="Times New Roman" w:eastAsia="Times New Roman" w:hAnsi="Times New Roman" w:cs="Times New Roman"/>
                <w:b w:val="0"/>
                <w:bCs w:val="0"/>
                <w:vertAlign w:val="baseline"/>
              </w:rPr>
              <w:t> </w:t>
            </w:r>
            <w:r>
              <w:rPr>
                <w:rStyle w:val="divaddresslispanbluebullet"/>
                <w:rFonts w:ascii="Times New Roman" w:eastAsia="Times New Roman" w:hAnsi="Times New Roman" w:cs="Times New Roman"/>
                <w:b w:val="0"/>
                <w:bCs w:val="0"/>
                <w:vertAlign w:val="baseline"/>
              </w:rPr>
              <w:t> </w:t>
            </w:r>
            <w:r>
              <w:rPr>
                <w:rStyle w:val="divaddresslispanbluebullet"/>
                <w:rFonts w:ascii="Times New Roman" w:eastAsia="Times New Roman" w:hAnsi="Times New Roman" w:cs="Times New Roman"/>
                <w:b w:val="0"/>
                <w:bCs w:val="0"/>
                <w:vertAlign w:val="baseline"/>
              </w:rPr>
              <w:t> </w:t>
            </w:r>
            <w:r>
              <w:rPr>
                <w:rStyle w:val="span"/>
                <w:rFonts w:ascii="Open Sans" w:eastAsia="Open Sans" w:hAnsi="Open Sans" w:cs="Open Sans"/>
                <w:b w:val="0"/>
                <w:bCs w:val="0"/>
                <w:color w:val="050505"/>
                <w:sz w:val="20"/>
                <w:szCs w:val="20"/>
              </w:rPr>
              <w:t>rohan.malhotra@example.com</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xml:space="preserve"> </w:t>
            </w:r>
            <w:r>
              <w:rPr>
                <w:rStyle w:val="skn-slo4right-box"/>
                <w:rFonts w:ascii="Open Sans" w:eastAsia="Open Sans" w:hAnsi="Open Sans" w:cs="Open Sans"/>
                <w:b w:val="0"/>
                <w:bCs w:val="0"/>
                <w:color w:val="050505"/>
                <w:sz w:val="20"/>
                <w:szCs w:val="20"/>
                <w:bdr w:val="none" w:sz="0" w:space="0" w:color="auto"/>
                <w:vertAlign w:val="baseline"/>
              </w:rPr>
              <w:t> </w:t>
            </w:r>
            <w:r>
              <w:rPr>
                <w:rStyle w:val="divaddresslispanbluebullet"/>
                <w:b w:val="0"/>
                <w:bCs w:val="0"/>
                <w:vertAlign w:val="baseline"/>
              </w:rPr>
              <w:t>·</w:t>
            </w:r>
            <w:r>
              <w:rPr>
                <w:rStyle w:val="divaddresslispanbluebullet"/>
                <w:rFonts w:ascii="Times New Roman" w:eastAsia="Times New Roman" w:hAnsi="Times New Roman" w:cs="Times New Roman"/>
                <w:b w:val="0"/>
                <w:bCs w:val="0"/>
                <w:vertAlign w:val="baseline"/>
              </w:rPr>
              <w:t> </w:t>
            </w:r>
            <w:r>
              <w:rPr>
                <w:rStyle w:val="divaddresslispanbluebullet"/>
                <w:rFonts w:ascii="Times New Roman" w:eastAsia="Times New Roman" w:hAnsi="Times New Roman" w:cs="Times New Roman"/>
                <w:b w:val="0"/>
                <w:bCs w:val="0"/>
                <w:vertAlign w:val="baseline"/>
              </w:rPr>
              <w:t> </w:t>
            </w:r>
            <w:r>
              <w:rPr>
                <w:rStyle w:val="divaddresslispanbluebullet"/>
                <w:rFonts w:ascii="Times New Roman" w:eastAsia="Times New Roman" w:hAnsi="Times New Roman" w:cs="Times New Roman"/>
                <w:b w:val="0"/>
                <w:bCs w:val="0"/>
                <w:vertAlign w:val="baseline"/>
              </w:rPr>
              <w:t> </w:t>
            </w:r>
            <w:r>
              <w:rPr>
                <w:rStyle w:val="span"/>
                <w:rFonts w:ascii="Open Sans" w:eastAsia="Open Sans" w:hAnsi="Open Sans" w:cs="Open Sans"/>
                <w:b w:val="0"/>
                <w:bCs w:val="0"/>
                <w:color w:val="050505"/>
                <w:sz w:val="20"/>
                <w:szCs w:val="20"/>
              </w:rPr>
              <w:t>Mumbai</w:t>
            </w:r>
            <w:r>
              <w:rPr>
                <w:rStyle w:val="span"/>
                <w:rFonts w:ascii="Open Sans" w:eastAsia="Open Sans" w:hAnsi="Open Sans" w:cs="Open Sans"/>
                <w:b w:val="0"/>
                <w:bCs w:val="0"/>
                <w:color w:val="050505"/>
                <w:sz w:val="20"/>
                <w:szCs w:val="20"/>
              </w:rPr>
              <w:t>,</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Maharashtra</w:t>
            </w:r>
            <w:r>
              <w:rPr>
                <w:rStyle w:val="skn-slo4top-sectionright-boxSECTIONCNTCparagraphaddressulli"/>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400069</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xml:space="preserve"> </w:t>
            </w:r>
            <w:r>
              <w:rPr>
                <w:rStyle w:val="skn-slo4right-box"/>
                <w:rFonts w:ascii="Open Sans" w:eastAsia="Open Sans" w:hAnsi="Open Sans" w:cs="Open Sans"/>
                <w:b w:val="0"/>
                <w:bCs w:val="0"/>
                <w:color w:val="050505"/>
                <w:sz w:val="20"/>
                <w:szCs w:val="20"/>
                <w:bdr w:val="none" w:sz="0" w:space="0" w:color="auto"/>
                <w:vertAlign w:val="baseline"/>
              </w:rPr>
              <w:t> </w:t>
            </w:r>
            <w:r>
              <w:rPr>
                <w:rStyle w:val="divaddresslispanbluebullet"/>
                <w:b w:val="0"/>
                <w:bCs w:val="0"/>
                <w:vertAlign w:val="baseline"/>
              </w:rPr>
              <w:t>·</w:t>
            </w:r>
            <w:r>
              <w:rPr>
                <w:rStyle w:val="divaddresslispanbluebullet"/>
                <w:rFonts w:ascii="Times New Roman" w:eastAsia="Times New Roman" w:hAnsi="Times New Roman" w:cs="Times New Roman"/>
                <w:b w:val="0"/>
                <w:bCs w:val="0"/>
                <w:vertAlign w:val="baseline"/>
              </w:rPr>
              <w:t> </w:t>
            </w:r>
            <w:r>
              <w:rPr>
                <w:rStyle w:val="divaddresslispanbluebullet"/>
                <w:rFonts w:ascii="Times New Roman" w:eastAsia="Times New Roman" w:hAnsi="Times New Roman" w:cs="Times New Roman"/>
                <w:b w:val="0"/>
                <w:bCs w:val="0"/>
                <w:vertAlign w:val="baseline"/>
              </w:rPr>
              <w:t> </w:t>
            </w:r>
            <w:r>
              <w:rPr>
                <w:rStyle w:val="divaddresslispanbluebullet"/>
                <w:rFonts w:ascii="Times New Roman" w:eastAsia="Times New Roman" w:hAnsi="Times New Roman" w:cs="Times New Roman"/>
                <w:b w:val="0"/>
                <w:bCs w:val="0"/>
                <w:vertAlign w:val="baseline"/>
              </w:rPr>
              <w:t> </w:t>
            </w:r>
            <w:r>
              <w:rPr>
                <w:rStyle w:val="span"/>
                <w:rFonts w:ascii="Open Sans" w:eastAsia="Open Sans" w:hAnsi="Open Sans" w:cs="Open Sans"/>
                <w:b w:val="0"/>
                <w:bCs w:val="0"/>
                <w:color w:val="050505"/>
                <w:sz w:val="20"/>
                <w:szCs w:val="20"/>
              </w:rPr>
              <w:t>12</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August</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1981</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xml:space="preserve"> </w:t>
            </w:r>
            <w:r>
              <w:rPr>
                <w:rStyle w:val="skn-slo4top-sectionright-boxSECTIONCNTCparagraphaddressulli"/>
                <w:rFonts w:ascii="Open Sans" w:eastAsia="Open Sans" w:hAnsi="Open Sans" w:cs="Open Sans"/>
                <w:b w:val="0"/>
                <w:bCs w:val="0"/>
                <w:color w:val="050505"/>
                <w:sz w:val="20"/>
                <w:szCs w:val="20"/>
              </w:rPr>
              <w:t xml:space="preserve"> </w:t>
            </w:r>
          </w:p>
        </w:tc>
      </w:tr>
    </w:tbl>
    <w:p>
      <w:pPr>
        <w:pStyle w:val="p"/>
        <w:pBdr>
          <w:top w:val="none" w:sz="0" w:space="0" w:color="auto"/>
          <w:left w:val="none" w:sz="0" w:space="0" w:color="auto"/>
          <w:bottom w:val="none" w:sz="0" w:space="0" w:color="auto"/>
          <w:right w:val="none" w:sz="0" w:space="0" w:color="auto"/>
        </w:pBdr>
        <w:spacing w:before="400" w:after="0" w:line="280" w:lineRule="atLeas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Experienced in strategic business development and enterprise sales, driving revenue growth through account management, market expansion, and stakeholder engagement. Skilled in contract negotiation, sales forecasting, and aligning technical solutions with client needs to achieve organizational goals. Offering expertise in team leadership and identifying opportunities for long-term partnerships.</w:t>
      </w:r>
    </w:p>
    <w:p>
      <w:pPr>
        <w:pStyle w:val="skn-slo4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olor w:val="929CA4"/>
          <w:spacing w:val="11"/>
          <w:bdr w:val="none" w:sz="0" w:space="0" w:color="auto"/>
          <w:vertAlign w:val="baseline"/>
        </w:rPr>
      </w:pPr>
      <w:r>
        <w:rPr>
          <w:rFonts w:ascii="Open Sans" w:eastAsia="Open Sans" w:hAnsi="Open Sans" w:cs="Open Sans"/>
          <w:bdr w:val="none" w:sz="0" w:space="0" w:color="auto"/>
          <w:vertAlign w:val="baseline"/>
        </w:rPr>
        <w:t>Skills</w:t>
      </w:r>
    </w:p>
    <w:tbl>
      <w:tblPr>
        <w:tblW w:w="10520" w:type="dxa"/>
        <w:jc w:val="left"/>
        <w:tblInd w:w="0" w:type="dxa"/>
        <w:tblCellMar>
          <w:left w:w="108" w:type="dxa"/>
          <w:right w:w="108" w:type="dxa"/>
        </w:tblCellMar>
      </w:tblPr>
      <w:tblGrid>
        <w:gridCol w:w="5260"/>
        <w:gridCol w:w="5260"/>
      </w:tblGrid>
      <w:tr>
        <w:tblPrEx>
          <w:tblW w:w="10520" w:type="dxa"/>
          <w:jc w:val="left"/>
          <w:tblInd w:w="0" w:type="dxa"/>
          <w:tblCellMar>
            <w:left w:w="108" w:type="dxa"/>
            <w:right w:w="108" w:type="dxa"/>
          </w:tblCellMar>
        </w:tblPrEx>
        <w:trPr>
          <w:jc w:val="left"/>
        </w:trPr>
        <w:tc>
          <w:tcPr>
            <w:tcW w:w="5260" w:type="dxa"/>
            <w:tcMar>
              <w:left w:w="0" w:type="dxa"/>
            </w:tcMar>
          </w:tcPr>
          <w:p>
            <w:pPr>
              <w:pStyle w:val="p"/>
              <w:numPr>
                <w:ilvl w:val="0"/>
                <w:numId w:val="1"/>
              </w:numPr>
              <w:pBdr>
                <w:top w:val="none" w:sz="0" w:space="0"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Strategic Business Development</w:t>
            </w:r>
          </w:p>
        </w:tc>
        <w:tc>
          <w:tcPr>
            <w:tcW w:w="5260" w:type="dxa"/>
            <w:tcMar>
              <w:left w:w="0" w:type="dxa"/>
            </w:tcMar>
          </w:tcPr>
          <w:p>
            <w:pPr>
              <w:pStyle w:val="p"/>
              <w:numPr>
                <w:ilvl w:val="0"/>
                <w:numId w:val="2"/>
              </w:numPr>
              <w:pBdr>
                <w:top w:val="none" w:sz="0" w:space="0"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Enterprise Sales</w:t>
            </w:r>
          </w:p>
        </w:tc>
      </w:tr>
      <w:tr>
        <w:tblPrEx>
          <w:tblW w:w="10520" w:type="dxa"/>
          <w:jc w:val="left"/>
          <w:tblInd w:w="0" w:type="dxa"/>
          <w:tblCellMar>
            <w:left w:w="108" w:type="dxa"/>
            <w:right w:w="108" w:type="dxa"/>
          </w:tblCellMar>
        </w:tblPrEx>
        <w:trPr>
          <w:jc w:val="left"/>
        </w:trPr>
        <w:tc>
          <w:tcPr>
            <w:tcW w:w="5260" w:type="dxa"/>
            <w:tcMar>
              <w:left w:w="0" w:type="dxa"/>
            </w:tcMar>
          </w:tcPr>
          <w:p>
            <w:pPr>
              <w:pStyle w:val="p"/>
              <w:numPr>
                <w:ilvl w:val="0"/>
                <w:numId w:val="3"/>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Revenue Growth Planning</w:t>
            </w:r>
          </w:p>
        </w:tc>
        <w:tc>
          <w:tcPr>
            <w:tcW w:w="5260" w:type="dxa"/>
            <w:tcMar>
              <w:left w:w="0" w:type="dxa"/>
            </w:tcMar>
          </w:tcPr>
          <w:p>
            <w:pPr>
              <w:pStyle w:val="p"/>
              <w:numPr>
                <w:ilvl w:val="0"/>
                <w:numId w:val="4"/>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Key Account Management</w:t>
            </w:r>
          </w:p>
        </w:tc>
      </w:tr>
      <w:tr>
        <w:tblPrEx>
          <w:tblW w:w="10520" w:type="dxa"/>
          <w:jc w:val="left"/>
          <w:tblInd w:w="0" w:type="dxa"/>
          <w:tblCellMar>
            <w:left w:w="108" w:type="dxa"/>
            <w:right w:w="108" w:type="dxa"/>
          </w:tblCellMar>
        </w:tblPrEx>
        <w:trPr>
          <w:jc w:val="left"/>
        </w:trPr>
        <w:tc>
          <w:tcPr>
            <w:tcW w:w="5260" w:type="dxa"/>
            <w:tcMar>
              <w:left w:w="0" w:type="dxa"/>
            </w:tcMar>
          </w:tcPr>
          <w:p>
            <w:pPr>
              <w:pStyle w:val="p"/>
              <w:numPr>
                <w:ilvl w:val="0"/>
                <w:numId w:val="5"/>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Market Expansion</w:t>
            </w:r>
          </w:p>
        </w:tc>
        <w:tc>
          <w:tcPr>
            <w:tcW w:w="5260" w:type="dxa"/>
            <w:tcMar>
              <w:left w:w="0" w:type="dxa"/>
            </w:tcMar>
          </w:tcPr>
          <w:p>
            <w:pPr>
              <w:pStyle w:val="p"/>
              <w:numPr>
                <w:ilvl w:val="0"/>
                <w:numId w:val="6"/>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Contract Negotiation</w:t>
            </w:r>
          </w:p>
        </w:tc>
      </w:tr>
      <w:tr>
        <w:tblPrEx>
          <w:tblW w:w="10520" w:type="dxa"/>
          <w:jc w:val="left"/>
          <w:tblInd w:w="0" w:type="dxa"/>
          <w:tblCellMar>
            <w:left w:w="108" w:type="dxa"/>
            <w:right w:w="108" w:type="dxa"/>
          </w:tblCellMar>
        </w:tblPrEx>
        <w:trPr>
          <w:jc w:val="left"/>
        </w:trPr>
        <w:tc>
          <w:tcPr>
            <w:tcW w:w="5260" w:type="dxa"/>
            <w:tcMar>
              <w:left w:w="0" w:type="dxa"/>
            </w:tcMar>
          </w:tcPr>
          <w:p>
            <w:pPr>
              <w:pStyle w:val="p"/>
              <w:numPr>
                <w:ilvl w:val="0"/>
                <w:numId w:val="7"/>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Partner Alliances</w:t>
            </w:r>
          </w:p>
        </w:tc>
        <w:tc>
          <w:tcPr>
            <w:tcW w:w="5260" w:type="dxa"/>
            <w:tcMar>
              <w:left w:w="0" w:type="dxa"/>
            </w:tcMar>
          </w:tcPr>
          <w:p>
            <w:pPr>
              <w:pStyle w:val="p"/>
              <w:numPr>
                <w:ilvl w:val="0"/>
                <w:numId w:val="8"/>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Sales Forecasting</w:t>
            </w:r>
          </w:p>
        </w:tc>
      </w:tr>
      <w:tr>
        <w:tblPrEx>
          <w:tblW w:w="10520" w:type="dxa"/>
          <w:jc w:val="left"/>
          <w:tblInd w:w="0" w:type="dxa"/>
          <w:tblCellMar>
            <w:left w:w="108" w:type="dxa"/>
            <w:right w:w="108" w:type="dxa"/>
          </w:tblCellMar>
        </w:tblPrEx>
        <w:trPr>
          <w:jc w:val="left"/>
        </w:trPr>
        <w:tc>
          <w:tcPr>
            <w:tcW w:w="5260" w:type="dxa"/>
            <w:tcMar>
              <w:left w:w="0" w:type="dxa"/>
            </w:tcMar>
          </w:tcPr>
          <w:p>
            <w:pPr>
              <w:pStyle w:val="p"/>
              <w:numPr>
                <w:ilvl w:val="0"/>
                <w:numId w:val="9"/>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Team Leadership</w:t>
            </w:r>
          </w:p>
        </w:tc>
        <w:tc>
          <w:tcPr>
            <w:tcW w:w="5260" w:type="dxa"/>
            <w:tcMar>
              <w:left w:w="0" w:type="dxa"/>
            </w:tcMar>
          </w:tcPr>
          <w:p>
            <w:pPr>
              <w:pStyle w:val="p"/>
              <w:numPr>
                <w:ilvl w:val="0"/>
                <w:numId w:val="10"/>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Stakeholder Management</w:t>
            </w:r>
          </w:p>
        </w:tc>
      </w:tr>
    </w:tbl>
    <w:p>
      <w:pPr>
        <w:pStyle w:val="skn-slo4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olor w:val="929CA4"/>
          <w:spacing w:val="11"/>
          <w:bdr w:val="none" w:sz="0" w:space="0" w:color="auto"/>
          <w:vertAlign w:val="baseline"/>
        </w:rPr>
      </w:pPr>
      <w:r>
        <w:rPr>
          <w:rFonts w:ascii="Open Sans" w:eastAsia="Open Sans" w:hAnsi="Open Sans" w:cs="Open Sans"/>
          <w:bdr w:val="none" w:sz="0" w:space="0" w:color="auto"/>
          <w:vertAlign w:val="baseline"/>
        </w:rPr>
        <w:t>Experience</w:t>
      </w:r>
    </w:p>
    <w:p>
      <w:pPr>
        <w:pStyle w:val="skn-slo4disp-block"/>
        <w:pBdr>
          <w:top w:val="none" w:sz="0" w:space="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Director – Business Development</w:t>
      </w:r>
    </w:p>
    <w:p>
      <w:pPr>
        <w:pStyle w:val="skn-slo4paddedline"/>
        <w:spacing w:before="0" w:after="0" w:line="280" w:lineRule="atLeast"/>
        <w:ind w:left="0" w:right="0"/>
        <w:rPr>
          <w:rFonts w:ascii="Open Sans" w:eastAsia="Open Sans" w:hAnsi="Open Sans" w:cs="Open Sans"/>
          <w:b/>
          <w:bCs/>
          <w:color w:val="050505"/>
          <w:sz w:val="20"/>
          <w:szCs w:val="20"/>
          <w:bdr w:val="none" w:sz="0" w:space="0" w:color="auto"/>
          <w:vertAlign w:val="baseline"/>
        </w:rPr>
      </w:pPr>
      <w:r>
        <w:rPr>
          <w:rStyle w:val="skn-slo4txt-caps"/>
          <w:rFonts w:ascii="Open Sans" w:eastAsia="Open Sans" w:hAnsi="Open Sans" w:cs="Open Sans"/>
          <w:b/>
          <w:bCs/>
          <w:caps/>
          <w:color w:val="050505"/>
          <w:sz w:val="20"/>
          <w:szCs w:val="20"/>
        </w:rPr>
        <w:t>Infosys Limited</w:t>
      </w:r>
      <w:r>
        <w:rPr>
          <w:rStyle w:val="skn-slo4space-bw"/>
          <w:rFonts w:ascii="Open Sans" w:eastAsia="Open Sans" w:hAnsi="Open Sans" w:cs="Open Sans"/>
          <w:b/>
          <w:bCs/>
          <w:color w:val="050505"/>
          <w:sz w:val="20"/>
          <w:szCs w:val="20"/>
        </w:rPr>
        <w:t>, </w:t>
      </w:r>
      <w:r>
        <w:rPr>
          <w:rStyle w:val="span"/>
          <w:rFonts w:ascii="Open Sans" w:eastAsia="Open Sans" w:hAnsi="Open Sans" w:cs="Open Sans"/>
          <w:b/>
          <w:bCs/>
          <w:color w:val="050505"/>
          <w:sz w:val="20"/>
          <w:szCs w:val="20"/>
        </w:rPr>
        <w:t>Bangalore</w:t>
      </w:r>
    </w:p>
    <w:p>
      <w:pPr>
        <w:pStyle w:val="skn-slo4paddedline"/>
        <w:spacing w:before="0" w:after="0" w:line="280" w:lineRule="atLeast"/>
        <w:ind w:left="0" w:right="0"/>
        <w:rP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April 2018</w:t>
      </w:r>
      <w:r>
        <w:rPr>
          <w:rStyle w:val="span"/>
          <w:rFonts w:ascii="Open Sans" w:eastAsia="Open Sans" w:hAnsi="Open Sans" w:cs="Open Sans"/>
          <w:b w:val="0"/>
          <w:bCs w:val="0"/>
          <w:i/>
          <w:iCs/>
          <w:color w:val="050505"/>
          <w:sz w:val="20"/>
          <w:szCs w:val="20"/>
        </w:rPr>
        <w:t xml:space="preserve"> - </w:t>
      </w:r>
      <w:r>
        <w:rPr>
          <w:rStyle w:val="span"/>
          <w:rFonts w:ascii="Open Sans" w:eastAsia="Open Sans" w:hAnsi="Open Sans" w:cs="Open Sans"/>
          <w:b w:val="0"/>
          <w:bCs w:val="0"/>
          <w:i/>
          <w:iCs/>
          <w:color w:val="050505"/>
          <w:sz w:val="20"/>
          <w:szCs w:val="20"/>
        </w:rPr>
        <w:t>Present</w:t>
      </w:r>
    </w:p>
    <w:p>
      <w:pPr>
        <w:pStyle w:val="skn-slo4expr-secullinth-child1"/>
        <w:numPr>
          <w:ilvl w:val="0"/>
          <w:numId w:val="11"/>
        </w:numPr>
        <w:pBdr>
          <w:left w:val="none" w:sz="0" w:space="9" w:color="auto"/>
        </w:pBdr>
        <w:spacing w:before="240"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Led enterprise sales strategy for BFSI and manufacturing accounts, driving consistent year-on-year revenue growth across regions.</w:t>
      </w:r>
    </w:p>
    <w:p>
      <w:pPr>
        <w:pStyle w:val="skn-slo4expr-seculli"/>
        <w:numPr>
          <w:ilvl w:val="0"/>
          <w:numId w:val="11"/>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Developed long-term client relationships through regular reviews, solution discussions, and executive-level engagement with stakeholders.</w:t>
      </w:r>
    </w:p>
    <w:p>
      <w:pPr>
        <w:pStyle w:val="skn-slo4expr-seculli"/>
        <w:numPr>
          <w:ilvl w:val="0"/>
          <w:numId w:val="11"/>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Oversaw proposal development, pricing strategy, and contract negotiations for large multi-year technology deals.</w:t>
      </w:r>
    </w:p>
    <w:p>
      <w:pPr>
        <w:pStyle w:val="skn-slo4expr-seculli"/>
        <w:numPr>
          <w:ilvl w:val="0"/>
          <w:numId w:val="11"/>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Collaborated with delivery and pre-sales teams to align client requirements with feasible technical solutions.</w:t>
      </w:r>
    </w:p>
    <w:p>
      <w:pPr>
        <w:pStyle w:val="skn-slo4expr-seculli"/>
        <w:numPr>
          <w:ilvl w:val="0"/>
          <w:numId w:val="11"/>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Monitored sales pipeline, forecast accuracy, and quarterly targets for senior leadership reporting.</w:t>
      </w:r>
    </w:p>
    <w:p>
      <w:pPr>
        <w:pStyle w:val="skn-slo4expr-seculli"/>
        <w:numPr>
          <w:ilvl w:val="0"/>
          <w:numId w:val="11"/>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Mentored regional sales managers to improve performance, account planning, and closure efficiency.</w:t>
      </w:r>
    </w:p>
    <w:p>
      <w:pPr>
        <w:pStyle w:val="skn-slo4expr-seculli"/>
        <w:numPr>
          <w:ilvl w:val="0"/>
          <w:numId w:val="11"/>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Identified new market opportunities and expanded service offerings within existing strategic accounts.</w:t>
      </w:r>
    </w:p>
    <w:p>
      <w:pPr>
        <w:pStyle w:val="skn-slo4disp-block"/>
        <w:pBdr>
          <w:top w:val="none" w:sz="0" w:space="1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Senior Business Development Manager</w:t>
      </w:r>
    </w:p>
    <w:p>
      <w:pPr>
        <w:pStyle w:val="skn-slo4paddedline"/>
        <w:spacing w:before="0" w:after="0" w:line="280" w:lineRule="atLeast"/>
        <w:ind w:left="0" w:right="0"/>
        <w:rPr>
          <w:rFonts w:ascii="Open Sans" w:eastAsia="Open Sans" w:hAnsi="Open Sans" w:cs="Open Sans"/>
          <w:b/>
          <w:bCs/>
          <w:color w:val="050505"/>
          <w:sz w:val="20"/>
          <w:szCs w:val="20"/>
          <w:bdr w:val="none" w:sz="0" w:space="0" w:color="auto"/>
          <w:vertAlign w:val="baseline"/>
        </w:rPr>
      </w:pPr>
      <w:r>
        <w:rPr>
          <w:rStyle w:val="skn-slo4txt-caps"/>
          <w:rFonts w:ascii="Open Sans" w:eastAsia="Open Sans" w:hAnsi="Open Sans" w:cs="Open Sans"/>
          <w:b/>
          <w:bCs/>
          <w:caps/>
          <w:color w:val="050505"/>
          <w:sz w:val="20"/>
          <w:szCs w:val="20"/>
        </w:rPr>
        <w:t>Tata Consultancy Services</w:t>
      </w:r>
      <w:r>
        <w:rPr>
          <w:rStyle w:val="skn-slo4space-bw"/>
          <w:rFonts w:ascii="Open Sans" w:eastAsia="Open Sans" w:hAnsi="Open Sans" w:cs="Open Sans"/>
          <w:b/>
          <w:bCs/>
          <w:color w:val="050505"/>
          <w:sz w:val="20"/>
          <w:szCs w:val="20"/>
        </w:rPr>
        <w:t>, </w:t>
      </w:r>
      <w:r>
        <w:rPr>
          <w:rStyle w:val="span"/>
          <w:rFonts w:ascii="Open Sans" w:eastAsia="Open Sans" w:hAnsi="Open Sans" w:cs="Open Sans"/>
          <w:b/>
          <w:bCs/>
          <w:color w:val="050505"/>
          <w:sz w:val="20"/>
          <w:szCs w:val="20"/>
        </w:rPr>
        <w:t>Mumbai</w:t>
      </w:r>
    </w:p>
    <w:p>
      <w:pPr>
        <w:pStyle w:val="skn-slo4paddedline"/>
        <w:spacing w:before="0" w:after="0" w:line="280" w:lineRule="atLeast"/>
        <w:ind w:left="0" w:right="0"/>
        <w:rP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January 2013</w:t>
      </w:r>
      <w:r>
        <w:rPr>
          <w:rStyle w:val="span"/>
          <w:rFonts w:ascii="Open Sans" w:eastAsia="Open Sans" w:hAnsi="Open Sans" w:cs="Open Sans"/>
          <w:b w:val="0"/>
          <w:bCs w:val="0"/>
          <w:i/>
          <w:iCs/>
          <w:color w:val="050505"/>
          <w:sz w:val="20"/>
          <w:szCs w:val="20"/>
        </w:rPr>
        <w:t xml:space="preserve"> - </w:t>
      </w:r>
      <w:r>
        <w:rPr>
          <w:rStyle w:val="span"/>
          <w:rFonts w:ascii="Open Sans" w:eastAsia="Open Sans" w:hAnsi="Open Sans" w:cs="Open Sans"/>
          <w:b w:val="0"/>
          <w:bCs w:val="0"/>
          <w:i/>
          <w:iCs/>
          <w:color w:val="050505"/>
          <w:sz w:val="20"/>
          <w:szCs w:val="20"/>
        </w:rPr>
        <w:t>March 2018</w:t>
      </w:r>
    </w:p>
    <w:p>
      <w:pPr>
        <w:pStyle w:val="skn-slo4expr-secullinth-child1"/>
        <w:numPr>
          <w:ilvl w:val="0"/>
          <w:numId w:val="12"/>
        </w:numPr>
        <w:pBdr>
          <w:left w:val="none" w:sz="0" w:space="9" w:color="auto"/>
        </w:pBdr>
        <w:spacing w:before="240"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Managed key enterprise accounts and achieved revenue targets through focused account planning and relationship management.</w:t>
      </w:r>
    </w:p>
    <w:p>
      <w:pPr>
        <w:pStyle w:val="skn-slo4expr-seculli"/>
        <w:numPr>
          <w:ilvl w:val="0"/>
          <w:numId w:val="12"/>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Drove new client acquisition by responding to RFPs, conducting presentations, and negotiating commercial terms.</w:t>
      </w:r>
    </w:p>
    <w:p>
      <w:pPr>
        <w:pStyle w:val="skn-slo4expr-seculli"/>
        <w:numPr>
          <w:ilvl w:val="0"/>
          <w:numId w:val="12"/>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Worked closely with delivery teams to ensure smooth project transitions after deal closures.</w:t>
      </w:r>
    </w:p>
    <w:p>
      <w:pPr>
        <w:pStyle w:val="skn-slo4expr-seculli"/>
        <w:numPr>
          <w:ilvl w:val="0"/>
          <w:numId w:val="12"/>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Built strong relationships with CXO-level clients to understand business challenges and growth opportunities.</w:t>
      </w:r>
    </w:p>
    <w:p>
      <w:pPr>
        <w:pStyle w:val="skn-slo4expr-seculli"/>
        <w:numPr>
          <w:ilvl w:val="0"/>
          <w:numId w:val="12"/>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Tracked market trends and competitor activity to refine sales strategies and positioning.</w:t>
      </w:r>
    </w:p>
    <w:p>
      <w:pPr>
        <w:pStyle w:val="skn-slo4expr-seculli"/>
        <w:numPr>
          <w:ilvl w:val="0"/>
          <w:numId w:val="12"/>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Led cross-functional teams during bid management and proposal finalization stages.</w:t>
      </w:r>
    </w:p>
    <w:p>
      <w:pPr>
        <w:pStyle w:val="skn-slo4expr-seculli"/>
        <w:numPr>
          <w:ilvl w:val="0"/>
          <w:numId w:val="12"/>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Improved sales pipeline visibility and forecasting accuracy through structured reporting practices.</w:t>
      </w:r>
    </w:p>
    <w:p>
      <w:pPr>
        <w:pStyle w:val="skn-slo4disp-block"/>
        <w:pBdr>
          <w:top w:val="none" w:sz="0" w:space="1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Business Development Manager</w:t>
      </w:r>
    </w:p>
    <w:p>
      <w:pPr>
        <w:pStyle w:val="skn-slo4paddedline"/>
        <w:spacing w:before="0" w:after="0" w:line="280" w:lineRule="atLeast"/>
        <w:ind w:left="0" w:right="0"/>
        <w:rPr>
          <w:rFonts w:ascii="Open Sans" w:eastAsia="Open Sans" w:hAnsi="Open Sans" w:cs="Open Sans"/>
          <w:b/>
          <w:bCs/>
          <w:color w:val="050505"/>
          <w:sz w:val="20"/>
          <w:szCs w:val="20"/>
          <w:bdr w:val="none" w:sz="0" w:space="0" w:color="auto"/>
          <w:vertAlign w:val="baseline"/>
        </w:rPr>
      </w:pPr>
      <w:r>
        <w:rPr>
          <w:rStyle w:val="skn-slo4txt-caps"/>
          <w:rFonts w:ascii="Open Sans" w:eastAsia="Open Sans" w:hAnsi="Open Sans" w:cs="Open Sans"/>
          <w:b/>
          <w:bCs/>
          <w:caps/>
          <w:color w:val="050505"/>
          <w:sz w:val="20"/>
          <w:szCs w:val="20"/>
        </w:rPr>
        <w:t>Wipro Technologies</w:t>
      </w:r>
      <w:r>
        <w:rPr>
          <w:rStyle w:val="skn-slo4space-bw"/>
          <w:rFonts w:ascii="Open Sans" w:eastAsia="Open Sans" w:hAnsi="Open Sans" w:cs="Open Sans"/>
          <w:b/>
          <w:bCs/>
          <w:color w:val="050505"/>
          <w:sz w:val="20"/>
          <w:szCs w:val="20"/>
        </w:rPr>
        <w:t>, </w:t>
      </w:r>
      <w:r>
        <w:rPr>
          <w:rStyle w:val="span"/>
          <w:rFonts w:ascii="Open Sans" w:eastAsia="Open Sans" w:hAnsi="Open Sans" w:cs="Open Sans"/>
          <w:b/>
          <w:bCs/>
          <w:color w:val="050505"/>
          <w:sz w:val="20"/>
          <w:szCs w:val="20"/>
        </w:rPr>
        <w:t>Pune</w:t>
      </w:r>
    </w:p>
    <w:p>
      <w:pPr>
        <w:pStyle w:val="skn-slo4paddedline"/>
        <w:spacing w:before="0" w:after="0" w:line="280" w:lineRule="atLeast"/>
        <w:ind w:left="0" w:right="0"/>
        <w:rP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June 2007</w:t>
      </w:r>
      <w:r>
        <w:rPr>
          <w:rStyle w:val="span"/>
          <w:rFonts w:ascii="Open Sans" w:eastAsia="Open Sans" w:hAnsi="Open Sans" w:cs="Open Sans"/>
          <w:b w:val="0"/>
          <w:bCs w:val="0"/>
          <w:i/>
          <w:iCs/>
          <w:color w:val="050505"/>
          <w:sz w:val="20"/>
          <w:szCs w:val="20"/>
        </w:rPr>
        <w:t xml:space="preserve"> - </w:t>
      </w:r>
      <w:r>
        <w:rPr>
          <w:rStyle w:val="span"/>
          <w:rFonts w:ascii="Open Sans" w:eastAsia="Open Sans" w:hAnsi="Open Sans" w:cs="Open Sans"/>
          <w:b w:val="0"/>
          <w:bCs w:val="0"/>
          <w:i/>
          <w:iCs/>
          <w:color w:val="050505"/>
          <w:sz w:val="20"/>
          <w:szCs w:val="20"/>
        </w:rPr>
        <w:t>December 2012</w:t>
      </w:r>
    </w:p>
    <w:p>
      <w:pPr>
        <w:pStyle w:val="skn-slo4expr-secullinth-child1"/>
        <w:numPr>
          <w:ilvl w:val="0"/>
          <w:numId w:val="13"/>
        </w:numPr>
        <w:pBdr>
          <w:left w:val="none" w:sz="0" w:space="9" w:color="auto"/>
        </w:pBdr>
        <w:spacing w:before="240"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Handled mid-market and enterprise clients across IT infrastructure and application services portfolios.</w:t>
      </w:r>
    </w:p>
    <w:p>
      <w:pPr>
        <w:pStyle w:val="skn-slo4expr-seculli"/>
        <w:numPr>
          <w:ilvl w:val="0"/>
          <w:numId w:val="13"/>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Generated new business leads through networking, referrals, and industry events participation.</w:t>
      </w:r>
    </w:p>
    <w:p>
      <w:pPr>
        <w:pStyle w:val="skn-slo4expr-seculli"/>
        <w:numPr>
          <w:ilvl w:val="0"/>
          <w:numId w:val="13"/>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Prepared proposals, pricing models, and service presentations aligned with client requirements.</w:t>
      </w:r>
    </w:p>
    <w:p>
      <w:pPr>
        <w:pStyle w:val="skn-slo4expr-seculli"/>
        <w:numPr>
          <w:ilvl w:val="0"/>
          <w:numId w:val="13"/>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Supported contract negotiations and ensured compliance with company policies and standards.</w:t>
      </w:r>
    </w:p>
    <w:p>
      <w:pPr>
        <w:pStyle w:val="skn-slo4expr-seculli"/>
        <w:numPr>
          <w:ilvl w:val="0"/>
          <w:numId w:val="13"/>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Maintained regular communication with clients to identify upsell and cross-sell opportunities.</w:t>
      </w:r>
    </w:p>
    <w:p>
      <w:pPr>
        <w:pStyle w:val="skn-slo4expr-seculli"/>
        <w:numPr>
          <w:ilvl w:val="0"/>
          <w:numId w:val="13"/>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Coordinated with internal teams to resolve pre-sales and solution-related queries.</w:t>
      </w:r>
    </w:p>
    <w:p>
      <w:pPr>
        <w:pStyle w:val="skn-slo4expr-seculli"/>
        <w:numPr>
          <w:ilvl w:val="0"/>
          <w:numId w:val="13"/>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Contributed to regional revenue growth by meeting annual sales targets consistently.</w:t>
      </w:r>
    </w:p>
    <w:p>
      <w:pPr>
        <w:pStyle w:val="skn-slo4disp-block"/>
        <w:pBdr>
          <w:top w:val="none" w:sz="0" w:space="1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Business Development Executive</w:t>
      </w:r>
    </w:p>
    <w:p>
      <w:pPr>
        <w:pStyle w:val="skn-slo4paddedline"/>
        <w:spacing w:before="0" w:after="0" w:line="280" w:lineRule="atLeast"/>
        <w:ind w:left="0" w:right="0"/>
        <w:rPr>
          <w:rFonts w:ascii="Open Sans" w:eastAsia="Open Sans" w:hAnsi="Open Sans" w:cs="Open Sans"/>
          <w:b/>
          <w:bCs/>
          <w:color w:val="050505"/>
          <w:sz w:val="20"/>
          <w:szCs w:val="20"/>
          <w:bdr w:val="none" w:sz="0" w:space="0" w:color="auto"/>
          <w:vertAlign w:val="baseline"/>
        </w:rPr>
      </w:pPr>
      <w:r>
        <w:rPr>
          <w:rStyle w:val="skn-slo4txt-caps"/>
          <w:rFonts w:ascii="Open Sans" w:eastAsia="Open Sans" w:hAnsi="Open Sans" w:cs="Open Sans"/>
          <w:b/>
          <w:bCs/>
          <w:caps/>
          <w:color w:val="050505"/>
          <w:sz w:val="20"/>
          <w:szCs w:val="20"/>
        </w:rPr>
        <w:t>HCL Technologies</w:t>
      </w:r>
      <w:r>
        <w:rPr>
          <w:rStyle w:val="skn-slo4space-bw"/>
          <w:rFonts w:ascii="Open Sans" w:eastAsia="Open Sans" w:hAnsi="Open Sans" w:cs="Open Sans"/>
          <w:b/>
          <w:bCs/>
          <w:color w:val="050505"/>
          <w:sz w:val="20"/>
          <w:szCs w:val="20"/>
        </w:rPr>
        <w:t>, </w:t>
      </w:r>
      <w:r>
        <w:rPr>
          <w:rStyle w:val="span"/>
          <w:rFonts w:ascii="Open Sans" w:eastAsia="Open Sans" w:hAnsi="Open Sans" w:cs="Open Sans"/>
          <w:b/>
          <w:bCs/>
          <w:color w:val="050505"/>
          <w:sz w:val="20"/>
          <w:szCs w:val="20"/>
        </w:rPr>
        <w:t>Noida</w:t>
      </w:r>
    </w:p>
    <w:p>
      <w:pPr>
        <w:pStyle w:val="skn-slo4paddedline"/>
        <w:spacing w:before="0" w:after="0" w:line="280" w:lineRule="atLeast"/>
        <w:ind w:left="0" w:right="0"/>
        <w:rP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July 2004</w:t>
      </w:r>
      <w:r>
        <w:rPr>
          <w:rStyle w:val="span"/>
          <w:rFonts w:ascii="Open Sans" w:eastAsia="Open Sans" w:hAnsi="Open Sans" w:cs="Open Sans"/>
          <w:b w:val="0"/>
          <w:bCs w:val="0"/>
          <w:i/>
          <w:iCs/>
          <w:color w:val="050505"/>
          <w:sz w:val="20"/>
          <w:szCs w:val="20"/>
        </w:rPr>
        <w:t xml:space="preserve"> - </w:t>
      </w:r>
      <w:r>
        <w:rPr>
          <w:rStyle w:val="span"/>
          <w:rFonts w:ascii="Open Sans" w:eastAsia="Open Sans" w:hAnsi="Open Sans" w:cs="Open Sans"/>
          <w:b w:val="0"/>
          <w:bCs w:val="0"/>
          <w:i/>
          <w:iCs/>
          <w:color w:val="050505"/>
          <w:sz w:val="20"/>
          <w:szCs w:val="20"/>
        </w:rPr>
        <w:t>May 2007</w:t>
      </w:r>
    </w:p>
    <w:p>
      <w:pPr>
        <w:pStyle w:val="skn-slo4expr-secullinth-child1"/>
        <w:numPr>
          <w:ilvl w:val="0"/>
          <w:numId w:val="14"/>
        </w:numPr>
        <w:pBdr>
          <w:left w:val="none" w:sz="0" w:space="9" w:color="auto"/>
        </w:pBdr>
        <w:spacing w:before="240"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Assisted senior managers in lead generation and opportunity qualification activities.</w:t>
      </w:r>
    </w:p>
    <w:p>
      <w:pPr>
        <w:pStyle w:val="skn-slo4expr-seculli"/>
        <w:numPr>
          <w:ilvl w:val="0"/>
          <w:numId w:val="14"/>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Conducted market research to identify potential clients and emerging industry segments.</w:t>
      </w:r>
    </w:p>
    <w:p>
      <w:pPr>
        <w:pStyle w:val="skn-slo4expr-seculli"/>
        <w:numPr>
          <w:ilvl w:val="0"/>
          <w:numId w:val="14"/>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Supported preparation of proposals, presentations, and client pitch documents.</w:t>
      </w:r>
    </w:p>
    <w:p>
      <w:pPr>
        <w:pStyle w:val="skn-slo4expr-seculli"/>
        <w:numPr>
          <w:ilvl w:val="0"/>
          <w:numId w:val="14"/>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Maintained CRM records and tracked sales activities for reporting purposes.</w:t>
      </w:r>
    </w:p>
    <w:p>
      <w:pPr>
        <w:pStyle w:val="skn-slo4expr-seculli"/>
        <w:numPr>
          <w:ilvl w:val="0"/>
          <w:numId w:val="14"/>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Participated in client meetings and followed up on action items post discussions.</w:t>
      </w:r>
    </w:p>
    <w:p>
      <w:pPr>
        <w:pStyle w:val="skn-slo4expr-seculli"/>
        <w:numPr>
          <w:ilvl w:val="0"/>
          <w:numId w:val="14"/>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Helped manage existing client accounts and ensured timely communication.</w:t>
      </w:r>
    </w:p>
    <w:p>
      <w:pPr>
        <w:pStyle w:val="skn-slo4expr-seculli"/>
        <w:numPr>
          <w:ilvl w:val="0"/>
          <w:numId w:val="14"/>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Gained hands-on exposure to IT services sales lifecycle and client engagement processes.</w:t>
      </w:r>
    </w:p>
    <w:p>
      <w:pPr>
        <w:pStyle w:val="skn-slo4section-title"/>
        <w:pBdr>
          <w:top w:val="none" w:sz="0" w:space="0" w:color="auto"/>
          <w:left w:val="none" w:sz="0" w:space="0" w:color="auto"/>
          <w:bottom w:val="none" w:sz="0" w:space="0" w:color="auto"/>
          <w:right w:val="none" w:sz="0" w:space="0" w:color="auto"/>
        </w:pBdr>
        <w:spacing w:before="500" w:after="200"/>
        <w:ind w:left="0" w:right="0"/>
        <w:rPr>
          <w:rFonts w:ascii="Open Sans" w:eastAsia="Open Sans" w:hAnsi="Open Sans" w:cs="Open Sans"/>
          <w:b/>
          <w:bCs/>
          <w:color w:val="929CA4"/>
          <w:spacing w:val="11"/>
          <w:bdr w:val="none" w:sz="0" w:space="0" w:color="auto"/>
          <w:vertAlign w:val="baseline"/>
        </w:rPr>
      </w:pPr>
      <w:r>
        <w:rPr>
          <w:rFonts w:ascii="Open Sans" w:eastAsia="Open Sans" w:hAnsi="Open Sans" w:cs="Open Sans"/>
          <w:bdr w:val="none" w:sz="0" w:space="0" w:color="auto"/>
          <w:vertAlign w:val="baseline"/>
        </w:rPr>
        <w:t>Education</w:t>
      </w:r>
    </w:p>
    <w:p>
      <w:pPr>
        <w:pStyle w:val="skn-slo4disp-block"/>
        <w:pBdr>
          <w:top w:val="none" w:sz="0" w:space="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10th Standard</w:t>
      </w:r>
      <w:r>
        <w:rPr>
          <w:rStyle w:val="span"/>
          <w:rFonts w:ascii="Open Sans" w:eastAsia="Open Sans" w:hAnsi="Open Sans" w:cs="Open Sans"/>
          <w:b w:val="0"/>
          <w:bCs w:val="0"/>
          <w:color w:val="050505"/>
          <w:sz w:val="20"/>
          <w:szCs w:val="20"/>
        </w:rPr>
        <w:t xml:space="preserve"> </w:t>
      </w:r>
    </w:p>
    <w:p>
      <w:pPr>
        <w:pStyle w:val="skn-slo4disp-block"/>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Style w:val="skn-slo4txt-bold"/>
          <w:rFonts w:ascii="Open Sans" w:eastAsia="Open Sans" w:hAnsi="Open Sans" w:cs="Open Sans"/>
          <w:b/>
          <w:bCs/>
          <w:color w:val="050505"/>
          <w:sz w:val="22"/>
          <w:szCs w:val="22"/>
        </w:rPr>
        <w:t>Delhi Public School</w:t>
      </w:r>
      <w:r>
        <w:rPr>
          <w:rFonts w:ascii="Open Sans" w:eastAsia="Open Sans" w:hAnsi="Open Sans" w:cs="Open Sans"/>
          <w:b w:val="0"/>
          <w:bCs w:val="0"/>
          <w:color w:val="050505"/>
          <w:sz w:val="20"/>
          <w:szCs w:val="20"/>
          <w:bdr w:val="none" w:sz="0" w:space="0" w:color="auto"/>
          <w:vertAlign w:val="baseline"/>
        </w:rPr>
        <w:t xml:space="preserve"> </w:t>
      </w:r>
    </w:p>
    <w:p>
      <w:pPr>
        <w:pStyle w:val="skn-slo4disp-block"/>
        <w:spacing w:before="0" w:after="0" w:line="280" w:lineRule="atLeast"/>
        <w:ind w:left="0" w:right="0"/>
        <w:rP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March 1997</w:t>
      </w:r>
    </w:p>
    <w:p>
      <w:pPr>
        <w:pStyle w:val="skn-slo4disp-block"/>
        <w:pBdr>
          <w:top w:val="none" w:sz="0" w:space="1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12th Standard</w:t>
      </w:r>
      <w:r>
        <w:rPr>
          <w:rStyle w:val="span"/>
          <w:rFonts w:ascii="Open Sans" w:eastAsia="Open Sans" w:hAnsi="Open Sans" w:cs="Open Sans"/>
          <w:b w:val="0"/>
          <w:bCs w:val="0"/>
          <w:color w:val="050505"/>
          <w:sz w:val="20"/>
          <w:szCs w:val="20"/>
        </w:rPr>
        <w:t xml:space="preserve"> </w:t>
      </w:r>
    </w:p>
    <w:p>
      <w:pPr>
        <w:pStyle w:val="skn-slo4disp-block"/>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Style w:val="skn-slo4txt-bold"/>
          <w:rFonts w:ascii="Open Sans" w:eastAsia="Open Sans" w:hAnsi="Open Sans" w:cs="Open Sans"/>
          <w:b/>
          <w:bCs/>
          <w:color w:val="050505"/>
          <w:sz w:val="22"/>
          <w:szCs w:val="22"/>
        </w:rPr>
        <w:t>Delhi Public School</w:t>
      </w:r>
      <w:r>
        <w:rPr>
          <w:rFonts w:ascii="Open Sans" w:eastAsia="Open Sans" w:hAnsi="Open Sans" w:cs="Open Sans"/>
          <w:b w:val="0"/>
          <w:bCs w:val="0"/>
          <w:color w:val="050505"/>
          <w:sz w:val="20"/>
          <w:szCs w:val="20"/>
          <w:bdr w:val="none" w:sz="0" w:space="0" w:color="auto"/>
          <w:vertAlign w:val="baseline"/>
        </w:rPr>
        <w:t xml:space="preserve"> </w:t>
      </w:r>
    </w:p>
    <w:p>
      <w:pPr>
        <w:pStyle w:val="skn-slo4disp-block"/>
        <w:spacing w:before="0" w:after="0" w:line="280" w:lineRule="atLeast"/>
        <w:ind w:left="0" w:right="0"/>
        <w:rP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March 1999</w:t>
      </w:r>
    </w:p>
    <w:p>
      <w:pPr>
        <w:pStyle w:val="skn-slo4disp-block"/>
        <w:pBdr>
          <w:top w:val="none" w:sz="0" w:space="1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Bachelor of Business Administration</w:t>
      </w:r>
      <w:r>
        <w:rPr>
          <w:rStyle w:val="span"/>
          <w:rFonts w:ascii="Open Sans" w:eastAsia="Open Sans" w:hAnsi="Open Sans" w:cs="Open Sans"/>
          <w:b w:val="0"/>
          <w:bCs w:val="0"/>
          <w:color w:val="050505"/>
          <w:sz w:val="20"/>
          <w:szCs w:val="20"/>
        </w:rPr>
        <w:t xml:space="preserve"> </w:t>
      </w:r>
    </w:p>
    <w:p>
      <w:pPr>
        <w:pStyle w:val="skn-slo4disp-block"/>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Style w:val="skn-slo4txt-bold"/>
          <w:rFonts w:ascii="Open Sans" w:eastAsia="Open Sans" w:hAnsi="Open Sans" w:cs="Open Sans"/>
          <w:b/>
          <w:bCs/>
          <w:color w:val="050505"/>
          <w:sz w:val="22"/>
          <w:szCs w:val="22"/>
        </w:rPr>
        <w:t>University of Delhi</w:t>
      </w:r>
      <w:r>
        <w:rPr>
          <w:rFonts w:ascii="Open Sans" w:eastAsia="Open Sans" w:hAnsi="Open Sans" w:cs="Open Sans"/>
          <w:b w:val="0"/>
          <w:bCs w:val="0"/>
          <w:color w:val="050505"/>
          <w:sz w:val="20"/>
          <w:szCs w:val="20"/>
          <w:bdr w:val="none" w:sz="0" w:space="0" w:color="auto"/>
          <w:vertAlign w:val="baseline"/>
        </w:rPr>
        <w:t xml:space="preserve"> </w:t>
      </w:r>
    </w:p>
    <w:p>
      <w:pPr>
        <w:pStyle w:val="skn-slo4disp-block"/>
        <w:spacing w:before="0" w:after="0" w:line="280" w:lineRule="atLeast"/>
        <w:ind w:left="0" w:right="0"/>
        <w:rP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April 2002</w:t>
      </w:r>
    </w:p>
    <w:p>
      <w:pPr>
        <w:pStyle w:val="skn-slo4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olor w:val="929CA4"/>
          <w:spacing w:val="11"/>
          <w:bdr w:val="none" w:sz="0" w:space="0" w:color="auto"/>
          <w:vertAlign w:val="baseline"/>
        </w:rPr>
      </w:pPr>
      <w:r>
        <w:rPr>
          <w:rFonts w:ascii="Open Sans" w:eastAsia="Open Sans" w:hAnsi="Open Sans" w:cs="Open Sans"/>
          <w:bdr w:val="none" w:sz="0" w:space="0" w:color="auto"/>
          <w:vertAlign w:val="baseline"/>
        </w:rPr>
        <w:t>Certifications</w:t>
      </w:r>
    </w:p>
    <w:tbl>
      <w:tblPr>
        <w:tblW w:w="10520" w:type="dxa"/>
        <w:jc w:val="left"/>
        <w:tblInd w:w="0" w:type="dxa"/>
        <w:tblCellMar>
          <w:left w:w="108" w:type="dxa"/>
          <w:right w:w="108" w:type="dxa"/>
        </w:tblCellMar>
      </w:tblPr>
      <w:tblGrid>
        <w:gridCol w:w="5260"/>
        <w:gridCol w:w="5260"/>
      </w:tblGrid>
      <w:tr>
        <w:tblPrEx>
          <w:tblW w:w="10520" w:type="dxa"/>
          <w:jc w:val="left"/>
          <w:tblInd w:w="0" w:type="dxa"/>
          <w:tblCellMar>
            <w:left w:w="108" w:type="dxa"/>
            <w:right w:w="108" w:type="dxa"/>
          </w:tblCellMar>
        </w:tblPrEx>
        <w:trPr>
          <w:jc w:val="left"/>
        </w:trPr>
        <w:tc>
          <w:tcPr>
            <w:tcW w:w="5260" w:type="dxa"/>
            <w:tcMar>
              <w:left w:w="0" w:type="dxa"/>
            </w:tcMar>
          </w:tcPr>
          <w:p>
            <w:pPr>
              <w:pStyle w:val="p"/>
              <w:numPr>
                <w:ilvl w:val="0"/>
                <w:numId w:val="15"/>
              </w:numPr>
              <w:pBdr>
                <w:top w:val="none" w:sz="0" w:space="0"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Strategic Sales Management Certification, IIM Bangalore</w:t>
            </w:r>
          </w:p>
        </w:tc>
        <w:tc>
          <w:tcPr>
            <w:tcW w:w="5260" w:type="dxa"/>
            <w:tcMar>
              <w:left w:w="0" w:type="dxa"/>
            </w:tcMar>
          </w:tcPr>
          <w:p>
            <w:pPr>
              <w:pStyle w:val="p"/>
              <w:numPr>
                <w:ilvl w:val="0"/>
                <w:numId w:val="16"/>
              </w:numPr>
              <w:pBdr>
                <w:top w:val="none" w:sz="0" w:space="0"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Certificate in Business Negotiation, Indian Institute of Management Ahmedabad</w:t>
            </w:r>
          </w:p>
        </w:tc>
      </w:tr>
      <w:tr>
        <w:tblPrEx>
          <w:tblW w:w="10520" w:type="dxa"/>
          <w:jc w:val="left"/>
          <w:tblInd w:w="0" w:type="dxa"/>
          <w:tblCellMar>
            <w:left w:w="108" w:type="dxa"/>
            <w:right w:w="108" w:type="dxa"/>
          </w:tblCellMar>
        </w:tblPrEx>
        <w:trPr>
          <w:jc w:val="left"/>
        </w:trPr>
        <w:tc>
          <w:tcPr>
            <w:tcW w:w="5260" w:type="dxa"/>
            <w:tcMar>
              <w:left w:w="0" w:type="dxa"/>
            </w:tcMar>
          </w:tcPr>
          <w:p>
            <w:pPr>
              <w:pStyle w:val="p"/>
              <w:numPr>
                <w:ilvl w:val="0"/>
                <w:numId w:val="17"/>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Certified Sales Professional, Indian Institute of Sales Management</w:t>
            </w:r>
          </w:p>
        </w:tc>
        <w:tc>
          <w:tcPr>
            <w:tcW w:w="5260" w:type="dxa"/>
            <w:tcMar>
              <w:left w:w="0" w:type="dxa"/>
            </w:tcMar>
          </w:tcPr>
          <w:p>
            <w:pPr>
              <w:pStyle w:val="p"/>
              <w:numPr>
                <w:ilvl w:val="0"/>
                <w:numId w:val="18"/>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ITIL Foundation Certification</w:t>
            </w:r>
          </w:p>
        </w:tc>
      </w:tr>
    </w:tbl>
    <w:p>
      <w:pPr>
        <w:pStyle w:val="skn-slo4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olor w:val="929CA4"/>
          <w:spacing w:val="11"/>
          <w:bdr w:val="none" w:sz="0" w:space="0" w:color="auto"/>
          <w:vertAlign w:val="baseline"/>
        </w:rPr>
      </w:pPr>
      <w:r>
        <w:rPr>
          <w:rFonts w:ascii="Open Sans" w:eastAsia="Open Sans" w:hAnsi="Open Sans" w:cs="Open Sans"/>
          <w:bdr w:val="none" w:sz="0" w:space="0" w:color="auto"/>
          <w:vertAlign w:val="baseline"/>
        </w:rPr>
        <w:t>Projects</w:t>
      </w:r>
    </w:p>
    <w:p>
      <w:pPr>
        <w:pStyle w:val="skn-slo4singlecolumn"/>
        <w:pBdr>
          <w:top w:val="none" w:sz="0" w:space="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Led market entry strategy for IT services expansion into Middle East region for enterprise clients. Managed large-scale deal closure project for a multi-year digital transformation engagement in BFSI sector.</w:t>
      </w:r>
    </w:p>
    <w:p>
      <w:pPr>
        <w:pStyle w:val="skn-slo4section-title"/>
        <w:pBdr>
          <w:top w:val="none" w:sz="0" w:space="0" w:color="auto"/>
          <w:left w:val="none" w:sz="0" w:space="0" w:color="auto"/>
          <w:bottom w:val="none" w:sz="0" w:space="0" w:color="auto"/>
          <w:right w:val="none" w:sz="0" w:space="0" w:color="auto"/>
        </w:pBdr>
        <w:spacing w:before="500" w:after="200"/>
        <w:ind w:left="0" w:right="0"/>
        <w:rPr>
          <w:rFonts w:ascii="Open Sans" w:eastAsia="Open Sans" w:hAnsi="Open Sans" w:cs="Open Sans"/>
          <w:b/>
          <w:bCs/>
          <w:color w:val="929CA4"/>
          <w:spacing w:val="11"/>
          <w:bdr w:val="none" w:sz="0" w:space="0" w:color="auto"/>
          <w:vertAlign w:val="baseline"/>
        </w:rPr>
      </w:pPr>
      <w:r>
        <w:rPr>
          <w:rFonts w:ascii="Open Sans" w:eastAsia="Open Sans" w:hAnsi="Open Sans" w:cs="Open Sans"/>
          <w:bdr w:val="none" w:sz="0" w:space="0" w:color="auto"/>
          <w:vertAlign w:val="baseline"/>
        </w:rPr>
        <w:t>Industry</w:t>
      </w:r>
    </w:p>
    <w:p>
      <w:pPr>
        <w:pStyle w:val="skn-slo4singlecolumn"/>
        <w:pBdr>
          <w:top w:val="none" w:sz="0" w:space="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IT Services and Consulting</w:t>
      </w:r>
    </w:p>
    <w:p>
      <w:pPr>
        <w:pStyle w:val="skn-slo4section-title"/>
        <w:pBdr>
          <w:top w:val="none" w:sz="0" w:space="0" w:color="auto"/>
          <w:left w:val="none" w:sz="0" w:space="0" w:color="auto"/>
          <w:bottom w:val="none" w:sz="0" w:space="0" w:color="auto"/>
          <w:right w:val="none" w:sz="0" w:space="0" w:color="auto"/>
        </w:pBdr>
        <w:spacing w:before="500" w:after="200"/>
        <w:ind w:left="0" w:right="0"/>
        <w:rPr>
          <w:rFonts w:ascii="Open Sans" w:eastAsia="Open Sans" w:hAnsi="Open Sans" w:cs="Open Sans"/>
          <w:b/>
          <w:bCs/>
          <w:color w:val="929CA4"/>
          <w:spacing w:val="11"/>
          <w:bdr w:val="none" w:sz="0" w:space="0" w:color="auto"/>
          <w:vertAlign w:val="baseline"/>
        </w:rPr>
      </w:pPr>
      <w:r>
        <w:rPr>
          <w:rFonts w:ascii="Open Sans" w:eastAsia="Open Sans" w:hAnsi="Open Sans" w:cs="Open Sans"/>
          <w:bdr w:val="none" w:sz="0" w:space="0" w:color="auto"/>
          <w:vertAlign w:val="baseline"/>
        </w:rPr>
        <w:t>Accomplishments</w:t>
      </w:r>
    </w:p>
    <w:p>
      <w:pPr>
        <w:pStyle w:val="ulli"/>
        <w:numPr>
          <w:ilvl w:val="0"/>
          <w:numId w:val="19"/>
        </w:numPr>
        <w:pBdr>
          <w:top w:val="none" w:sz="0" w:space="0" w:color="auto"/>
          <w:left w:val="none" w:sz="0" w:space="0" w:color="auto"/>
          <w:bottom w:val="none" w:sz="0" w:space="0" w:color="auto"/>
          <w:right w:val="none" w:sz="0" w:space="0" w:color="auto"/>
        </w:pBdr>
        <w:spacing w:before="240" w:after="10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Closed a USD 25 million multi-year contract at Infosys Limited through strategic client engagement.</w:t>
      </w:r>
    </w:p>
    <w:p>
      <w:pPr>
        <w:pStyle w:val="ulli"/>
        <w:numPr>
          <w:ilvl w:val="0"/>
          <w:numId w:val="19"/>
        </w:numPr>
        <w:spacing w:after="10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Achieved highest regional revenue growth award at Tata Consultancy Services in 2016.</w:t>
      </w:r>
    </w:p>
    <w:p>
      <w:pPr>
        <w:pStyle w:val="linth-last-child1"/>
        <w:numPr>
          <w:ilvl w:val="0"/>
          <w:numId w:val="19"/>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Secured three new enterprise accounts at Wipro Technologies within one financial year.</w:t>
      </w:r>
    </w:p>
    <w:p>
      <w:pPr>
        <w:pStyle w:val="skn-slo4section-title"/>
        <w:pBdr>
          <w:top w:val="none" w:sz="0" w:space="0" w:color="auto"/>
          <w:left w:val="none" w:sz="0" w:space="0" w:color="auto"/>
          <w:bottom w:val="none" w:sz="0" w:space="0" w:color="auto"/>
          <w:right w:val="none" w:sz="0" w:space="0" w:color="auto"/>
        </w:pBdr>
        <w:spacing w:before="500" w:after="200"/>
        <w:ind w:left="0" w:right="0"/>
        <w:rPr>
          <w:rFonts w:ascii="Open Sans" w:eastAsia="Open Sans" w:hAnsi="Open Sans" w:cs="Open Sans"/>
          <w:b/>
          <w:bCs/>
          <w:color w:val="929CA4"/>
          <w:spacing w:val="11"/>
          <w:bdr w:val="none" w:sz="0" w:space="0" w:color="auto"/>
          <w:vertAlign w:val="baseline"/>
        </w:rPr>
      </w:pPr>
      <w:r>
        <w:rPr>
          <w:rFonts w:ascii="Open Sans" w:eastAsia="Open Sans" w:hAnsi="Open Sans" w:cs="Open Sans"/>
          <w:bdr w:val="none" w:sz="0" w:space="0" w:color="auto"/>
          <w:vertAlign w:val="baseline"/>
        </w:rPr>
        <w:t>References</w:t>
      </w:r>
    </w:p>
    <w:p>
      <w:pPr>
        <w:pStyle w:val="skn-slo4sectionreference-secparagraphupon-req-para"/>
        <w:pBdr>
          <w:top w:val="none" w:sz="0" w:space="0" w:color="auto"/>
          <w:left w:val="none" w:sz="0" w:space="0" w:color="auto"/>
          <w:bottom w:val="none" w:sz="0" w:space="0" w:color="auto"/>
          <w:right w:val="none" w:sz="0" w:space="0" w:color="auto"/>
        </w:pBdr>
        <w:spacing w:before="0" w:after="0" w:line="280" w:lineRule="atLeast"/>
        <w:ind w:left="0" w:right="0"/>
        <w:textAlignment w:val="top"/>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References available upon request</w:t>
      </w:r>
    </w:p>
    <w:sectPr>
      <w:pgSz w:w="12240" w:h="15840"/>
      <w:pgMar w:top="460" w:right="860" w:bottom="460" w:left="860" w:header="720" w:footer="72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EB8CDCB0-A867-4383-AD54-6F408EC61CB1}"/>
    <w:embedBold r:id="rId2" w:fontKey="{D185B3AC-875D-4D1E-B95C-0577EE61FB66}"/>
    <w:embedItalic r:id="rId3" w:fontKey="{7A3401C2-3EA1-400E-946A-67917472DA56}"/>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7">
    <w:nsid w:val="00000012"/>
    <w:multiLevelType w:val="hybridMultilevel"/>
    <w:tmpl w:val="00000012"/>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8">
    <w:nsid w:val="00000013"/>
    <w:multiLevelType w:val="hybridMultilevel"/>
    <w:tmpl w:val="00000013"/>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4pagesize">
    <w:name w:val="skn-slo4_pagesize"/>
    <w:basedOn w:val="Normal"/>
  </w:style>
  <w:style w:type="character" w:customStyle="1" w:styleId="skn-slo4right-box">
    <w:name w:val="skn-slo4_right-box"/>
    <w:basedOn w:val="DefaultParagraphFont"/>
  </w:style>
  <w:style w:type="paragraph" w:customStyle="1" w:styleId="skn-slo4firstsection">
    <w:name w:val="skn-slo4_firstsection"/>
    <w:basedOn w:val="Normal"/>
    <w:pPr>
      <w:pBdr>
        <w:top w:val="none" w:sz="0" w:space="0" w:color="auto"/>
      </w:pBdr>
    </w:pPr>
  </w:style>
  <w:style w:type="paragraph" w:customStyle="1" w:styleId="skn-slo4firstparagraph">
    <w:name w:val="skn-slo4_firstparagraph"/>
    <w:basedOn w:val="Normal"/>
    <w:pPr>
      <w:pBdr>
        <w:top w:val="none" w:sz="0" w:space="0" w:color="auto"/>
      </w:pBdr>
    </w:pPr>
  </w:style>
  <w:style w:type="paragraph" w:customStyle="1" w:styleId="skn-slo4name">
    <w:name w:val="skn-slo4_name"/>
    <w:basedOn w:val="Normal"/>
    <w:pPr>
      <w:spacing w:line="640" w:lineRule="atLeast"/>
    </w:pPr>
    <w:rPr>
      <w:b/>
      <w:bCs/>
      <w:caps/>
      <w:color w:val="929CA4"/>
      <w:spacing w:val="16"/>
      <w:sz w:val="48"/>
      <w:szCs w:val="48"/>
    </w:rPr>
  </w:style>
  <w:style w:type="character" w:customStyle="1" w:styleId="span">
    <w:name w:val="span"/>
    <w:basedOn w:val="DefaultParagraphFont"/>
    <w:rPr>
      <w:bdr w:val="none" w:sz="0" w:space="0" w:color="auto"/>
      <w:vertAlign w:val="baseline"/>
    </w:rPr>
  </w:style>
  <w:style w:type="character" w:customStyle="1" w:styleId="skn-slo4nameCharacter">
    <w:name w:val="skn-slo4_name Character"/>
    <w:basedOn w:val="DefaultParagraphFont"/>
    <w:rPr>
      <w:b/>
      <w:bCs/>
      <w:caps/>
      <w:color w:val="929CA4"/>
      <w:spacing w:val="16"/>
      <w:sz w:val="48"/>
      <w:szCs w:val="48"/>
    </w:rPr>
  </w:style>
  <w:style w:type="paragraph" w:customStyle="1" w:styleId="skn-slo4resume-title">
    <w:name w:val="skn-slo4_resume-title"/>
    <w:basedOn w:val="Normal"/>
    <w:pPr>
      <w:spacing w:line="360" w:lineRule="atLeast"/>
    </w:pPr>
    <w:rPr>
      <w:b/>
      <w:bCs/>
      <w:spacing w:val="16"/>
      <w:sz w:val="26"/>
      <w:szCs w:val="26"/>
    </w:rPr>
  </w:style>
  <w:style w:type="paragraph" w:customStyle="1" w:styleId="SECTIONCNTC">
    <w:name w:val="SECTION_CNTC"/>
    <w:basedOn w:val="Normal"/>
    <w:pPr>
      <w:pBdr>
        <w:top w:val="none" w:sz="0" w:space="11" w:color="auto"/>
      </w:pBd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skn-slo4top-sectionright-boxSECTIONCNTCparagraphaddressulli">
    <w:name w:val="skn-slo4_top-section_right-box_SECTION_CNTC_paragraph_address_ul_li"/>
    <w:basedOn w:val="DefaultParagraphFont"/>
  </w:style>
  <w:style w:type="character" w:customStyle="1" w:styleId="divaddresslispanbluebullet">
    <w:name w:val="div_address_li_span_bluebullet"/>
    <w:basedOn w:val="DefaultParagraphFont"/>
    <w:rPr>
      <w:rFonts w:ascii="Symbol" w:eastAsia="Symbol" w:hAnsi="Symbol" w:cs="Symbol"/>
      <w:color w:val="929CA4"/>
      <w:sz w:val="20"/>
      <w:szCs w:val="20"/>
    </w:rPr>
  </w:style>
  <w:style w:type="character" w:customStyle="1" w:styleId="skn-slo4spanempty">
    <w:name w:val="skn-slo4_span_empty"/>
    <w:basedOn w:val="DefaultParagraphFont"/>
    <w:rPr>
      <w:vanish/>
    </w:rPr>
  </w:style>
  <w:style w:type="character" w:customStyle="1" w:styleId="divCharacter">
    <w:name w:val="div Character"/>
    <w:basedOn w:val="DefaultParagraphFont"/>
    <w:rPr>
      <w:bdr w:val="none" w:sz="0" w:space="0" w:color="auto"/>
      <w:vertAlign w:val="baseline"/>
    </w:rPr>
  </w:style>
  <w:style w:type="table" w:customStyle="1" w:styleId="skn-slo4top-section">
    <w:name w:val="skn-slo4_top-section"/>
    <w:basedOn w:val="TableNormal"/>
    <w:tblPr/>
  </w:style>
  <w:style w:type="paragraph" w:customStyle="1" w:styleId="skn-slo4summary">
    <w:name w:val="skn-slo4_summary"/>
    <w:basedOn w:val="Normal"/>
    <w:rPr>
      <w:b w:val="0"/>
      <w:bCs w:val="0"/>
    </w:rPr>
  </w:style>
  <w:style w:type="paragraph" w:customStyle="1" w:styleId="skn-slo4parent-containersectionparagraphnth-child1">
    <w:name w:val="skn-slo4_parent-container_section_paragraph_nth-child(1)"/>
    <w:basedOn w:val="Normal"/>
    <w:pPr>
      <w:pBdr>
        <w:top w:val="none" w:sz="0" w:space="0" w:color="auto"/>
        <w:left w:val="none" w:sz="0" w:space="0" w:color="auto"/>
        <w:bottom w:val="none" w:sz="0" w:space="0" w:color="auto"/>
        <w:right w:val="none" w:sz="0" w:space="0" w:color="auto"/>
      </w:pBdr>
    </w:pPr>
  </w:style>
  <w:style w:type="paragraph" w:customStyle="1" w:styleId="skn-slo4singlecolumn">
    <w:name w:val="skn-slo4_singlecolumn"/>
    <w:basedOn w:val="Normal"/>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4middle-containersectionnth-child1">
    <w:name w:val="skn-slo4_middle-container_section_nth-child(1)"/>
    <w:basedOn w:val="Normal"/>
  </w:style>
  <w:style w:type="paragraph" w:customStyle="1" w:styleId="skn-slo4section-title">
    <w:name w:val="skn-slo4_section-title"/>
    <w:basedOn w:val="Normal"/>
    <w:pPr>
      <w:spacing w:line="340" w:lineRule="atLeast"/>
    </w:pPr>
    <w:rPr>
      <w:b/>
      <w:bCs/>
      <w:color w:val="929CA4"/>
      <w:spacing w:val="11"/>
      <w:sz w:val="24"/>
      <w:szCs w:val="24"/>
    </w:rPr>
  </w:style>
  <w:style w:type="paragraph" w:customStyle="1" w:styleId="skn-slo4cmn-secparagraphfirstparagraph">
    <w:name w:val="skn-slo4_cmn-sec_paragraph_firstparagraph"/>
    <w:basedOn w:val="Normal"/>
    <w:pPr>
      <w:pBdr>
        <w:top w:val="none" w:sz="0" w:space="0" w:color="auto"/>
      </w:pBdr>
    </w:pPr>
  </w:style>
  <w:style w:type="paragraph" w:customStyle="1" w:styleId="skn-slo4cmn-seculli">
    <w:name w:val="skn-slo4_cmn-sec_ul_li"/>
    <w:basedOn w:val="Normal"/>
    <w:pPr>
      <w:pBdr>
        <w:left w:val="none" w:sz="0" w:space="19" w:color="auto"/>
      </w:pBdr>
    </w:pPr>
  </w:style>
  <w:style w:type="character" w:customStyle="1" w:styleId="pCharacter">
    <w:name w:val="p Character"/>
    <w:basedOn w:val="DefaultParagraphFont"/>
    <w:rPr>
      <w:bdr w:val="none" w:sz="0" w:space="0" w:color="auto"/>
      <w:vertAlign w:val="baseline"/>
    </w:rPr>
  </w:style>
  <w:style w:type="paragraph" w:customStyle="1" w:styleId="skn-slo4cmn-secparagraphfirstparagraphparagraph">
    <w:name w:val="skn-slo4_cmn-sec_paragraph_firstparagraph + paragraph"/>
    <w:basedOn w:val="Normal"/>
    <w:pPr>
      <w:pBdr>
        <w:top w:val="none" w:sz="0" w:space="0" w:color="auto"/>
      </w:pBdr>
    </w:pPr>
  </w:style>
  <w:style w:type="paragraph" w:customStyle="1" w:styleId="skn-slo4cmn-secparagraph">
    <w:name w:val="skn-slo4_cmn-sec_paragraph"/>
    <w:basedOn w:val="Normal"/>
    <w:pPr>
      <w:pBdr>
        <w:top w:val="none" w:sz="0" w:space="5" w:color="auto"/>
      </w:pBdr>
    </w:pPr>
  </w:style>
  <w:style w:type="paragraph" w:customStyle="1" w:styleId="skn-slo4disp-block">
    <w:name w:val="skn-slo4_disp-block"/>
    <w:basedOn w:val="Normal"/>
  </w:style>
  <w:style w:type="paragraph" w:customStyle="1" w:styleId="skn-slo4paddedline">
    <w:name w:val="skn-slo4_paddedline"/>
    <w:basedOn w:val="Normal"/>
  </w:style>
  <w:style w:type="character" w:customStyle="1" w:styleId="skn-slo4txt-caps">
    <w:name w:val="skn-slo4_txt-caps"/>
    <w:basedOn w:val="DefaultParagraphFont"/>
    <w:rPr>
      <w:caps/>
    </w:rPr>
  </w:style>
  <w:style w:type="character" w:customStyle="1" w:styleId="skn-slo4space-bw">
    <w:name w:val="skn-slo4_space-bw"/>
    <w:basedOn w:val="DefaultParagraphFont"/>
  </w:style>
  <w:style w:type="paragraph" w:customStyle="1" w:styleId="skn-slo4expr-secullinth-child1">
    <w:name w:val="skn-slo4_expr-sec_ul_li_nth-child(1)"/>
    <w:basedOn w:val="Normal"/>
    <w:pPr>
      <w:pBdr>
        <w:top w:val="none" w:sz="0" w:space="0" w:color="auto"/>
      </w:pBdr>
    </w:pPr>
  </w:style>
  <w:style w:type="paragraph" w:customStyle="1" w:styleId="skn-slo4expr-seculli">
    <w:name w:val="skn-slo4_expr-sec_ul_li"/>
    <w:basedOn w:val="Normal"/>
    <w:pPr>
      <w:pBdr>
        <w:top w:val="none" w:sz="0" w:space="5" w:color="auto"/>
      </w:pBdr>
    </w:pPr>
  </w:style>
  <w:style w:type="paragraph" w:customStyle="1" w:styleId="skn-slo4paragraph">
    <w:name w:val="skn-slo4_paragraph"/>
    <w:basedOn w:val="Normal"/>
    <w:pPr>
      <w:pBdr>
        <w:top w:val="none" w:sz="0" w:space="10" w:color="auto"/>
      </w:pBdr>
    </w:pPr>
  </w:style>
  <w:style w:type="paragraph" w:customStyle="1" w:styleId="skn-slo4middle-containersection">
    <w:name w:val="skn-slo4_middle-container_section"/>
    <w:basedOn w:val="Normal"/>
  </w:style>
  <w:style w:type="character" w:customStyle="1" w:styleId="skn-slo4txt-bold">
    <w:name w:val="skn-slo4_txt-bold"/>
    <w:basedOn w:val="DefaultParagraphFont"/>
    <w:rPr>
      <w:b/>
      <w:bCs/>
    </w:rPr>
  </w:style>
  <w:style w:type="paragraph" w:customStyle="1" w:styleId="ulli">
    <w:name w:val="ul_li"/>
    <w:basedOn w:val="Normal"/>
    <w:pPr>
      <w:pBdr>
        <w:left w:val="none" w:sz="0" w:space="9" w:color="auto"/>
      </w:pBdr>
    </w:pPr>
  </w:style>
  <w:style w:type="paragraph" w:customStyle="1" w:styleId="linth-last-child1">
    <w:name w:val="li_nth-last-child(1)"/>
    <w:basedOn w:val="Normal"/>
  </w:style>
  <w:style w:type="paragraph" w:customStyle="1" w:styleId="skn-slo4reference-secheading">
    <w:name w:val="skn-slo4_reference-sec_heading"/>
    <w:basedOn w:val="Normal"/>
  </w:style>
  <w:style w:type="paragraph" w:customStyle="1" w:styleId="skn-slo4sectionreference-secparagraphupon-req-para">
    <w:name w:val="skn-slo4_section_reference-sec_paragraph_upon-req-para"/>
    <w:basedOn w:val="Normal"/>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numbering" Target="numbering.xml" /><Relationship Id="rId6"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Rohan Malhotra</dc:title>
  <cp:revision>0</cp:revision>
</cp:coreProperties>
</file>