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Priyanka</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Deshmukh</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333333"/>
                <w:sz w:val="28"/>
                <w:szCs w:val="28"/>
              </w:rPr>
            </w:pPr>
            <w:r>
              <w:rPr>
                <w:rStyle w:val="skn-mlz2anyCharacter"/>
                <w:rFonts w:ascii="Open Sans" w:eastAsia="Open Sans" w:hAnsi="Open Sans" w:cs="Open Sans"/>
                <w:b/>
                <w:bCs/>
                <w:caps w:val="0"/>
              </w:rPr>
              <w:t>Credit Risk Modeler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333333"/>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333333"/>
                <w:tblLayout w:type="fixed"/>
                <w:tblCellMar>
                  <w:top w:w="0" w:type="dxa"/>
                  <w:left w:w="0" w:type="dxa"/>
                  <w:bottom w:w="0" w:type="dxa"/>
                  <w:right w:w="0" w:type="dxa"/>
                </w:tblCellMar>
                <w:tblLook w:val="05E0"/>
              </w:tblPrEx>
              <w:trPr>
                <w:tblCellSpacing w:w="0" w:type="dxa"/>
              </w:trPr>
              <w:tc>
                <w:tcPr>
                  <w:tcW w:w="5510" w:type="dxa"/>
                  <w:shd w:val="clear" w:color="auto" w:fill="707070"/>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707070"/>
                  <w:tcMar>
                    <w:top w:w="120" w:type="dxa"/>
                    <w:left w:w="0" w:type="dxa"/>
                    <w:bottom w:w="0" w:type="dxa"/>
                    <w:right w:w="0" w:type="dxa"/>
                  </w:tcMar>
                  <w:vAlign w:val="top"/>
                  <w:hideMark/>
                </w:tcPr>
                <w:p/>
              </w:tc>
              <w:tc>
                <w:tcPr>
                  <w:tcW w:w="5510" w:type="dxa"/>
                  <w:shd w:val="clear" w:color="auto" w:fill="707070"/>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firstname.lastname@example.com</w:t>
                  </w:r>
                </w:p>
              </w:tc>
            </w:tr>
            <w:tr>
              <w:tblPrEx>
                <w:tblW w:w="0" w:type="auto"/>
                <w:tblCellSpacing w:w="0" w:type="dxa"/>
                <w:tblInd w:w="0" w:type="dxa"/>
                <w:shd w:val="clear" w:color="auto" w:fill="333333"/>
                <w:tblLayout w:type="fixed"/>
                <w:tblCellMar>
                  <w:top w:w="0" w:type="dxa"/>
                  <w:left w:w="0" w:type="dxa"/>
                  <w:bottom w:w="0" w:type="dxa"/>
                  <w:right w:w="0" w:type="dxa"/>
                </w:tblCellMar>
                <w:tblLook w:val="05E0"/>
              </w:tblPrEx>
              <w:trPr>
                <w:tblCellSpacing w:w="0" w:type="dxa"/>
              </w:trPr>
              <w:tc>
                <w:tcPr>
                  <w:tcW w:w="5510" w:type="dxa"/>
                  <w:shd w:val="clear" w:color="auto" w:fill="707070"/>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Pune, Maharashtra411005</w:t>
                  </w:r>
                </w:p>
              </w:tc>
              <w:tc>
                <w:tcPr>
                  <w:tcW w:w="480" w:type="dxa"/>
                  <w:shd w:val="clear" w:color="auto" w:fill="707070"/>
                  <w:tcMar>
                    <w:top w:w="120" w:type="dxa"/>
                    <w:left w:w="0" w:type="dxa"/>
                    <w:bottom w:w="160" w:type="dxa"/>
                    <w:right w:w="0" w:type="dxa"/>
                  </w:tcMar>
                  <w:vAlign w:val="top"/>
                  <w:hideMark/>
                </w:tcPr>
                <w:p/>
              </w:tc>
              <w:tc>
                <w:tcPr>
                  <w:tcW w:w="5510" w:type="dxa"/>
                  <w:shd w:val="clear" w:color="auto" w:fill="707070"/>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09 February 1992</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d6d6d6"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Experienced professional in credit risk modeling, skilled in developing probability of default models and conducting statistical analysis to identify risk drivers. Proficient in SAS and Python programming, with expertise in Basel regulations and model validation. Eager to leverage expertise in a Credit Risk Modeler role to enhance portfolio risk management strategies.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d6d6d6"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Credit Risk Modeling</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Probability of Default</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Loss Given Default</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Exposure at Default</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SAS Programming</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Python Programming</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Basel Regulations</w:t>
            </w:r>
          </w:p>
          <w:p>
            <w:pPr>
              <w:pStyle w:val="skn-mlz2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Model Validation</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Portfolio Risk Analysis</w:t>
            </w:r>
          </w:p>
          <w:p>
            <w:pPr>
              <w:pStyle w:val="skn-mlz2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Statistical Analysis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d6d6d6"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Certification in Credit Risk Management, IIBF, India</w:t>
            </w:r>
          </w:p>
          <w:p>
            <w:pPr>
              <w:pStyle w:val="skn-mlz2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Advanced Banking Analytics Certification, IMS Proschool, India</w:t>
            </w:r>
          </w:p>
          <w:p>
            <w:pPr>
              <w:pStyle w:val="skn-mlz2any"/>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Financial Risk Manager Level I, GARP</w:t>
            </w:r>
          </w:p>
          <w:p>
            <w:pPr>
              <w:pStyle w:val="skn-mlz2any"/>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SAS Certified Statistical Business Analyst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d6d6d6"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d6d6d6"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Credit Risk Modeler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ICICI Bank</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Apr 2020</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Pune</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5"/>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Develop probability of default models for retail and corporate loan portfolios.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Estimate loss given default and exposure at default using historical credit data.</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Perform statistical analysis to identify key credit risk drivers.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 model validation and back testing as per internal policies.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 regulatory reports aligned with Basel framework requirements.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Monitor portfolio risk trends and recommend corrective risk mitigation actions.</w:t>
            </w:r>
          </w:p>
          <w:p>
            <w:pPr>
              <w:pStyle w:val="skn-mlz2expr-sec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 with credit policy team to refine risk assessment methodologies.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Risk Analyst</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Deloitte India</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2016</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Mar 2020</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Mumbai</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6"/>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development of credit scorecards for banking clients.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Extracted and transformed large datasets using SAS for modeling purposes.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Performed data analysis to assess borrower risk behavior patterns.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stress testing exercises under different economic scenarios.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Documented model development process for audit and compliance review.</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Collaborated with client stakeholders to understand risk modeling requirements.</w:t>
            </w:r>
          </w:p>
          <w:p>
            <w:pPr>
              <w:pStyle w:val="skn-mlz2expr-secullinth-last-child1"/>
              <w:numPr>
                <w:ilvl w:val="0"/>
                <w:numId w:val="16"/>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Created dashboards to track key credit risk indicators and metrics.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d6d6d6"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10th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Symbiosis Secondary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2008</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12th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Symbiosis Secondary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2010</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Commerce</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Savitribai Phule Pune University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Apr 2013</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d6d6d6"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Projects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Retail Loan Default Prediction Model, Developed logistic regression model to predict retail loan defaults using borrower history data. Corporate Credit Risk Assessment Framework, Designed risk framework to evaluate corporate borrower financial strength and repayment capacity.</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2880" fillcolor="#d6d6d6"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Accomplishments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ulli"/>
              <w:numPr>
                <w:ilvl w:val="0"/>
                <w:numId w:val="17"/>
              </w:numPr>
              <w:pBdr>
                <w:top w:val="none" w:sz="0" w:space="0" w:color="auto"/>
                <w:left w:val="none" w:sz="0" w:space="0" w:color="auto"/>
                <w:bottom w:val="none" w:sz="0" w:space="0" w:color="auto"/>
                <w:right w:val="none" w:sz="0" w:space="0" w:color="auto"/>
              </w:pBdr>
              <w:spacing w:before="160"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Improved default prediction accuracy by 19 percent at ICICI Bank.</w:t>
            </w:r>
          </w:p>
          <w:p>
            <w:pPr>
              <w:pStyle w:val="skn-mlz2ulli"/>
              <w:numPr>
                <w:ilvl w:val="0"/>
                <w:numId w:val="17"/>
              </w:numPr>
              <w:pBdr>
                <w:top w:val="none" w:sz="0" w:space="0"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Successfully supported Basel compliant model review at ICICI Bank.</w:t>
            </w:r>
          </w:p>
          <w:p>
            <w:pPr>
              <w:pStyle w:val="skn-mlz2ullinth-last-child1"/>
              <w:numPr>
                <w:ilvl w:val="0"/>
                <w:numId w:val="17"/>
              </w:numPr>
              <w:pBdr>
                <w:top w:val="none" w:sz="0" w:space="0" w:color="auto"/>
                <w:left w:val="none" w:sz="0" w:space="3"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Recognized for timely project delivery for banking client at Deloitte India.</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0BD84CB6-72A8-4ECD-81C2-82E277398D0A}"/>
    <w:embedBold r:id="rId2" w:fontKey="{2C233D5B-3999-46C9-AE3D-4F72F0A8A548}"/>
  </w:font>
  <w:font w:name="Open Sans SemiBold">
    <w:charset w:val="00"/>
    <w:family w:val="auto"/>
    <w:pitch w:val="default"/>
    <w:embedRegular r:id="rId3" w:fontKey="{5719B3A6-FA53-42FB-A4A0-B27BBD7CC3DD}"/>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333333"/>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ulli">
    <w:name w:val="skn-mlz2_ul_li"/>
    <w:basedOn w:val="Normal"/>
    <w:pPr>
      <w:pBdr>
        <w:left w:val="none" w:sz="0" w:space="3" w:color="auto"/>
        <w:bottom w:val="none" w:sz="0" w:space="4" w:color="auto"/>
      </w:pBdr>
    </w:p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Priyanka Deshmukh</dc:title>
  <cp:revision>0</cp:revision>
</cp:coreProperties>
</file>