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slo6top-left-box"/>
        <w:tblW w:w="0" w:type="auto"/>
        <w:tblCellSpacing w:w="0" w:type="dxa"/>
        <w:tblBorders>
          <w:bottom w:val="single" w:sz="8" w:space="0" w:color="469FBE"/>
        </w:tblBorders>
        <w:tblLayout w:type="fixed"/>
        <w:tblCellMar>
          <w:top w:w="0" w:type="dxa"/>
          <w:left w:w="0" w:type="dxa"/>
          <w:bottom w:w="0" w:type="dxa"/>
          <w:right w:w="0" w:type="dxa"/>
        </w:tblCellMar>
        <w:tblLook w:val="05E0"/>
      </w:tblPr>
      <w:tblGrid>
        <w:gridCol w:w="10520"/>
      </w:tblGrid>
      <w:tr>
        <w:tblPrEx>
          <w:tblW w:w="0" w:type="auto"/>
          <w:tblCellSpacing w:w="0" w:type="dxa"/>
          <w:tblBorders>
            <w:bottom w:val="single" w:sz="8" w:space="0" w:color="469FBE"/>
          </w:tblBorders>
          <w:tblLayout w:type="fixed"/>
          <w:tblCellMar>
            <w:top w:w="0" w:type="dxa"/>
            <w:left w:w="0" w:type="dxa"/>
            <w:bottom w:w="0" w:type="dxa"/>
            <w:right w:w="0" w:type="dxa"/>
          </w:tblCellMar>
          <w:tblLook w:val="05E0"/>
        </w:tblPrEx>
        <w:trPr>
          <w:tblCellSpacing w:w="0" w:type="dxa"/>
        </w:trPr>
        <w:tc>
          <w:tcPr>
            <w:tcW w:w="10520" w:type="dxa"/>
            <w:tcMar>
              <w:top w:w="0" w:type="dxa"/>
              <w:left w:w="0" w:type="dxa"/>
              <w:bottom w:w="0" w:type="dxa"/>
              <w:right w:w="0" w:type="dxa"/>
            </w:tcMar>
            <w:vAlign w:val="top"/>
            <w:hideMark/>
          </w:tcPr>
          <w:p>
            <w:pPr>
              <w:pStyle w:val="skn-slo6name"/>
              <w:pBdr>
                <w:top w:val="none" w:sz="0" w:space="0" w:color="auto"/>
                <w:left w:val="none" w:sz="0" w:space="0" w:color="auto"/>
                <w:bottom w:val="none" w:sz="0" w:space="0" w:color="auto"/>
                <w:right w:val="none" w:sz="0" w:space="0" w:color="auto"/>
              </w:pBdr>
              <w:spacing w:before="0" w:after="0"/>
              <w:ind w:left="0" w:right="0"/>
              <w:jc w:val="center"/>
              <w:rPr>
                <w:rStyle w:val="skn-slo6name-sec"/>
                <w:rFonts w:ascii="Open Sans" w:eastAsia="Open Sans" w:hAnsi="Open Sans" w:cs="Open Sans"/>
                <w:b/>
                <w:bCs/>
                <w:color w:val="469FBE"/>
                <w:sz w:val="48"/>
                <w:szCs w:val="48"/>
                <w:bdr w:val="none" w:sz="0" w:space="0" w:color="auto"/>
                <w:vertAlign w:val="baseline"/>
              </w:rPr>
            </w:pPr>
            <w:r>
              <w:rPr>
                <w:rStyle w:val="span"/>
                <w:rFonts w:ascii="Open Sans" w:eastAsia="Open Sans" w:hAnsi="Open Sans" w:cs="Open Sans"/>
                <w:b/>
                <w:bCs/>
              </w:rPr>
              <w:t>Praveen</w:t>
            </w:r>
            <w:r>
              <w:rPr>
                <w:rStyle w:val="skn-slo6name-sec"/>
                <w:rFonts w:ascii="Open Sans" w:eastAsia="Open Sans" w:hAnsi="Open Sans" w:cs="Open Sans"/>
                <w:b/>
                <w:bCs/>
                <w:bdr w:val="none" w:sz="0" w:space="0" w:color="auto"/>
                <w:vertAlign w:val="baseline"/>
              </w:rPr>
              <w:t xml:space="preserve"> </w:t>
            </w:r>
            <w:r>
              <w:rPr>
                <w:rStyle w:val="span"/>
                <w:rFonts w:ascii="Open Sans" w:eastAsia="Open Sans" w:hAnsi="Open Sans" w:cs="Open Sans"/>
                <w:b/>
                <w:bCs/>
              </w:rPr>
              <w:t>Malhotra</w:t>
            </w:r>
          </w:p>
          <w:p>
            <w:pPr>
              <w:pStyle w:val="skn-slo6txt-caps"/>
              <w:pBdr>
                <w:top w:val="none" w:sz="0" w:space="0" w:color="auto"/>
                <w:left w:val="none" w:sz="0" w:space="0" w:color="auto"/>
                <w:bottom w:val="none" w:sz="0" w:space="0" w:color="auto"/>
                <w:right w:val="none" w:sz="0" w:space="0" w:color="auto"/>
              </w:pBdr>
              <w:spacing w:before="40" w:after="0" w:line="300" w:lineRule="atLeast"/>
              <w:ind w:left="0" w:right="0"/>
              <w:jc w:val="center"/>
              <w:rPr>
                <w:rStyle w:val="skn-slo6name-sec"/>
                <w:rFonts w:ascii="Open Sans" w:eastAsia="Open Sans" w:hAnsi="Open Sans" w:cs="Open Sans"/>
                <w:b/>
                <w:bCs/>
                <w:caps/>
                <w:color w:val="050505"/>
                <w:bdr w:val="none" w:sz="0" w:space="0" w:color="auto"/>
                <w:vertAlign w:val="baseline"/>
              </w:rPr>
            </w:pPr>
            <w:r>
              <w:rPr>
                <w:rStyle w:val="span"/>
                <w:rFonts w:ascii="Open Sans" w:eastAsia="Open Sans" w:hAnsi="Open Sans" w:cs="Open Sans"/>
                <w:b/>
                <w:bCs/>
                <w:caps/>
                <w:color w:val="050505"/>
              </w:rPr>
              <w:t>Business Intelligence Operations Manager</w:t>
            </w:r>
          </w:p>
          <w:p>
            <w:pPr>
              <w:pStyle w:val="namePictPara"/>
              <w:pBdr>
                <w:top w:val="none" w:sz="0" w:space="0" w:color="auto"/>
                <w:left w:val="none" w:sz="0" w:space="0" w:color="auto"/>
                <w:bottom w:val="none" w:sz="0" w:space="13" w:color="auto"/>
                <w:right w:val="none" w:sz="0" w:space="0" w:color="auto"/>
              </w:pBdr>
              <w:spacing w:before="0" w:after="0" w:line="20" w:lineRule="exact"/>
              <w:ind w:left="0" w:right="0"/>
              <w:jc w:val="center"/>
              <w:rPr>
                <w:rStyle w:val="skn-slo6name-sec"/>
                <w:rFonts w:ascii="Open Sans" w:eastAsia="Open Sans" w:hAnsi="Open Sans" w:cs="Open Sans"/>
                <w:b w:val="0"/>
                <w:bCs w:val="0"/>
                <w:color w:val="050505"/>
                <w:sz w:val="20"/>
                <w:szCs w:val="20"/>
                <w:bdr w:val="none" w:sz="0" w:space="0" w:color="auto"/>
                <w:vertAlign w:val="baseline"/>
              </w:rPr>
            </w:pPr>
          </w:p>
          <w:p>
            <w:pPr>
              <w:pStyle w:val="skn-slo6firstparagraph"/>
              <w:pBdr>
                <w:top w:val="none" w:sz="0" w:space="0" w:color="auto"/>
                <w:left w:val="none" w:sz="0" w:space="0" w:color="auto"/>
                <w:bottom w:val="none" w:sz="0" w:space="0" w:color="auto"/>
                <w:right w:val="none" w:sz="0" w:space="0" w:color="auto"/>
              </w:pBdr>
              <w:spacing w:after="0" w:line="14" w:lineRule="atLeast"/>
              <w:ind w:left="0" w:right="0"/>
              <w:jc w:val="center"/>
              <w:textAlignment w:val="auto"/>
              <w:rPr>
                <w:rStyle w:val="skn-slo6firstparagraphCharacter"/>
                <w:rFonts w:ascii="Open Sans" w:eastAsia="Open Sans" w:hAnsi="Open Sans" w:cs="Open Sans"/>
                <w:b w:val="0"/>
                <w:bCs w:val="0"/>
                <w:color w:val="050505"/>
                <w:sz w:val="1"/>
                <w:szCs w:val="1"/>
                <w:bdr w:val="none" w:sz="0" w:space="0" w:color="auto"/>
                <w:vertAlign w:val="baseline"/>
              </w:rPr>
            </w:pPr>
          </w:p>
        </w:tc>
      </w:tr>
    </w:tbl>
    <w:tbl>
      <w:tblPr>
        <w:tblW w:w="10520" w:type="dxa"/>
        <w:jc w:val="left"/>
        <w:tblInd w:w="0" w:type="dxa"/>
        <w:tblCellMar>
          <w:left w:w="108" w:type="dxa"/>
          <w:right w:w="108" w:type="dxa"/>
        </w:tblCellMar>
      </w:tblPr>
      <w:tblGrid>
        <w:gridCol w:w="3507"/>
        <w:gridCol w:w="3507"/>
        <w:gridCol w:w="3507"/>
      </w:tblGrid>
      <w:tr>
        <w:tblPrEx>
          <w:tblW w:w="10520" w:type="dxa"/>
          <w:jc w:val="left"/>
          <w:tblInd w:w="0" w:type="dxa"/>
          <w:tblCellMar>
            <w:left w:w="108" w:type="dxa"/>
            <w:right w:w="108" w:type="dxa"/>
          </w:tblCellMar>
        </w:tblPrEx>
        <w:trPr>
          <w:jc w:val="left"/>
        </w:trPr>
        <w:tc>
          <w:tcPr>
            <w:tcW w:w="3507" w:type="dxa"/>
            <w:tcMar>
              <w:top w:w="400" w:type="dxa"/>
              <w:left w:w="0" w:type="dxa"/>
            </w:tcMar>
            <w:vAlign w:val="center"/>
          </w:tcPr>
          <w:p>
            <w:pPr>
              <w:pStyle w:val="skn-slo6addressaddr-details"/>
              <w:pBdr>
                <w:top w:val="none" w:sz="0" w:space="0" w:color="auto"/>
                <w:left w:val="none" w:sz="0" w:space="0" w:color="auto"/>
                <w:bottom w:val="none" w:sz="0" w:space="0" w:color="auto"/>
                <w:right w:val="none" w:sz="0" w:space="0" w:color="auto"/>
              </w:pBdr>
              <w:tabs>
                <w:tab w:val="left" w:pos="0"/>
              </w:tabs>
              <w:spacing w:before="0" w:after="80"/>
              <w:ind w:left="0" w:right="300" w:firstLine="0"/>
              <w:jc w:val="center"/>
              <w:rPr>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rPr>
              <w:t>+91 98765 43210</w:t>
            </w:r>
          </w:p>
        </w:tc>
        <w:tc>
          <w:tcPr>
            <w:tcW w:w="3507" w:type="dxa"/>
            <w:tcMar>
              <w:top w:w="400" w:type="dxa"/>
              <w:left w:w="0" w:type="dxa"/>
            </w:tcMar>
            <w:vAlign w:val="center"/>
          </w:tcPr>
          <w:p>
            <w:pPr>
              <w:pStyle w:val="skn-slo6addressaddr-detailsnth-last-child3"/>
              <w:pBdr>
                <w:top w:val="none" w:sz="0" w:space="0" w:color="auto"/>
                <w:left w:val="none" w:sz="0" w:space="0" w:color="auto"/>
                <w:bottom w:val="none" w:sz="0" w:space="0" w:color="auto"/>
                <w:right w:val="none" w:sz="0" w:space="15" w:color="auto"/>
              </w:pBdr>
              <w:tabs>
                <w:tab w:val="left" w:pos="0"/>
              </w:tabs>
              <w:spacing w:before="0" w:after="0"/>
              <w:ind w:left="0" w:right="300" w:firstLine="0"/>
              <w:jc w:val="center"/>
              <w:rPr>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rPr>
              <w:t>praveen.malhotra@example.com</w:t>
            </w:r>
          </w:p>
        </w:tc>
        <w:tc>
          <w:tcPr>
            <w:tcW w:w="3507" w:type="dxa"/>
            <w:tcMar>
              <w:top w:w="400" w:type="dxa"/>
              <w:left w:w="0" w:type="dxa"/>
            </w:tcMar>
            <w:vAlign w:val="center"/>
          </w:tcPr>
          <w:p>
            <w:pPr>
              <w:pStyle w:val="skn-slo6addressaddr-detailsnth-last-child2"/>
              <w:pBdr>
                <w:top w:val="none" w:sz="0" w:space="0" w:color="auto"/>
                <w:left w:val="none" w:sz="0" w:space="0" w:color="auto"/>
                <w:bottom w:val="none" w:sz="0" w:space="0" w:color="auto"/>
                <w:right w:val="none" w:sz="0" w:space="15" w:color="auto"/>
              </w:pBdr>
              <w:tabs>
                <w:tab w:val="left" w:pos="0"/>
              </w:tabs>
              <w:spacing w:before="0" w:after="0"/>
              <w:ind w:left="0" w:right="300" w:firstLine="0"/>
              <w:jc w:val="center"/>
              <w:rPr>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rPr>
              <w:t>Gurugram</w:t>
            </w:r>
            <w:r>
              <w:rPr>
                <w:rStyle w:val="span"/>
                <w:rFonts w:ascii="Open Sans" w:eastAsia="Open Sans" w:hAnsi="Open Sans" w:cs="Open Sans"/>
                <w:b w:val="0"/>
                <w:bCs w:val="0"/>
                <w:color w:val="050505"/>
                <w:sz w:val="20"/>
                <w:szCs w:val="20"/>
              </w:rPr>
              <w:t>,</w:t>
            </w:r>
            <w:r>
              <w:rPr>
                <w:rFonts w:ascii="Open Sans" w:eastAsia="Open Sans" w:hAnsi="Open Sans" w:cs="Open Sans"/>
                <w:b w:val="0"/>
                <w:bCs w:val="0"/>
                <w:color w:val="050505"/>
                <w:sz w:val="20"/>
                <w:szCs w:val="20"/>
                <w:bdr w:val="none" w:sz="0" w:space="0" w:color="auto"/>
                <w:vertAlign w:val="baseline"/>
              </w:rPr>
              <w:t xml:space="preserve"> </w:t>
            </w:r>
            <w:r>
              <w:rPr>
                <w:rStyle w:val="span"/>
                <w:rFonts w:ascii="Open Sans" w:eastAsia="Open Sans" w:hAnsi="Open Sans" w:cs="Open Sans"/>
                <w:b w:val="0"/>
                <w:bCs w:val="0"/>
                <w:color w:val="050505"/>
                <w:sz w:val="20"/>
                <w:szCs w:val="20"/>
              </w:rPr>
              <w:t>Haryana</w:t>
            </w:r>
            <w:r>
              <w:rPr>
                <w:rFonts w:ascii="Open Sans" w:eastAsia="Open Sans" w:hAnsi="Open Sans" w:cs="Open Sans"/>
                <w:b w:val="0"/>
                <w:bCs w:val="0"/>
                <w:color w:val="050505"/>
                <w:sz w:val="20"/>
                <w:szCs w:val="20"/>
                <w:bdr w:val="none" w:sz="0" w:space="0" w:color="auto"/>
                <w:vertAlign w:val="baseline"/>
              </w:rPr>
              <w:t xml:space="preserve"> </w:t>
            </w:r>
            <w:r>
              <w:rPr>
                <w:rStyle w:val="span"/>
                <w:rFonts w:ascii="Open Sans" w:eastAsia="Open Sans" w:hAnsi="Open Sans" w:cs="Open Sans"/>
                <w:b w:val="0"/>
                <w:bCs w:val="0"/>
                <w:color w:val="050505"/>
                <w:sz w:val="20"/>
                <w:szCs w:val="20"/>
              </w:rPr>
              <w:t>122002</w:t>
            </w:r>
          </w:p>
        </w:tc>
      </w:tr>
      <w:tr>
        <w:tblPrEx>
          <w:tblW w:w="10520" w:type="dxa"/>
          <w:jc w:val="left"/>
          <w:tblInd w:w="0" w:type="dxa"/>
          <w:tblCellMar>
            <w:left w:w="108" w:type="dxa"/>
            <w:right w:w="108" w:type="dxa"/>
          </w:tblCellMar>
        </w:tblPrEx>
        <w:trPr>
          <w:jc w:val="left"/>
        </w:trPr>
        <w:tc>
          <w:tcPr>
            <w:tcW w:w="3507" w:type="dxa"/>
            <w:tcMar>
              <w:left w:w="0" w:type="dxa"/>
              <w:bottom w:w="400" w:type="dxa"/>
            </w:tcMar>
            <w:vAlign w:val="center"/>
          </w:tcPr>
          <w:p>
            <w:pPr>
              <w:pStyle w:val="skn-slo6addressaddr-detailsnth-last-child1"/>
              <w:pBdr>
                <w:top w:val="none" w:sz="0" w:space="0" w:color="auto"/>
                <w:left w:val="none" w:sz="0" w:space="0" w:color="auto"/>
                <w:bottom w:val="none" w:sz="0" w:space="0" w:color="auto"/>
                <w:right w:val="none" w:sz="0" w:space="0" w:color="auto"/>
              </w:pBdr>
              <w:tabs>
                <w:tab w:val="left" w:pos="0"/>
              </w:tabs>
              <w:spacing w:before="0" w:after="0"/>
              <w:ind w:left="0" w:right="0" w:firstLine="0"/>
              <w:jc w:val="center"/>
              <w:rPr>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rPr>
              <w:t>17 November 1987</w:t>
            </w:r>
          </w:p>
        </w:tc>
        <w:tc>
          <w:tcPr>
            <w:tcW w:w="3507" w:type="dxa"/>
            <w:tcMar>
              <w:left w:w="0" w:type="dxa"/>
            </w:tcMar>
            <w:vAlign w:val="center"/>
          </w:tcPr>
          <w:p>
            <w:pPr>
              <w:jc w:val="center"/>
            </w:pPr>
          </w:p>
        </w:tc>
        <w:tc>
          <w:tcPr>
            <w:tcW w:w="3507" w:type="dxa"/>
            <w:tcMar>
              <w:left w:w="0" w:type="dxa"/>
            </w:tcMar>
            <w:vAlign w:val="center"/>
          </w:tcPr>
          <w:p>
            <w:pPr>
              <w:jc w:val="center"/>
            </w:pPr>
          </w:p>
        </w:tc>
      </w:tr>
    </w:tbl>
    <w:p>
      <w:pPr>
        <w:pStyle w:val="brdr"/>
        <w:pBdr>
          <w:top w:val="single" w:sz="8" w:space="0" w:color="050505"/>
          <w:left w:val="none" w:sz="0" w:space="0" w:color="auto"/>
          <w:bottom w:val="none" w:sz="0" w:space="0" w:color="auto"/>
          <w:right w:val="none" w:sz="0" w:space="0" w:color="auto"/>
        </w:pBdr>
        <w:spacing w:before="0" w:after="500"/>
        <w:ind w:left="0" w:right="0"/>
        <w:jc w:val="center"/>
        <w:rPr>
          <w:rFonts w:ascii="Open Sans" w:eastAsia="Open Sans" w:hAnsi="Open Sans" w:cs="Open Sans"/>
          <w:b w:val="0"/>
          <w:bCs w:val="0"/>
          <w:color w:val="050505"/>
          <w:sz w:val="2"/>
          <w:szCs w:val="2"/>
          <w:bdr w:val="none" w:sz="0" w:space="0" w:color="auto"/>
          <w:vertAlign w:val="baseline"/>
        </w:rPr>
      </w:pPr>
      <w:r>
        <w:rPr>
          <w:rFonts w:ascii="Open Sans" w:eastAsia="Open Sans" w:hAnsi="Open Sans" w:cs="Open Sans"/>
          <w:b w:val="0"/>
          <w:bCs w:val="0"/>
          <w:color w:val="050505"/>
          <w:bdr w:val="none" w:sz="0" w:space="0" w:color="auto"/>
          <w:vertAlign w:val="baseline"/>
        </w:rPr>
        <w:t> </w:t>
      </w:r>
    </w:p>
    <w:p>
      <w:pPr>
        <w:pStyle w:val="firstparagraphparaSpacing"/>
        <w:pBdr>
          <w:top w:val="none" w:sz="0" w:space="0" w:color="auto"/>
          <w:left w:val="none" w:sz="0" w:space="0" w:color="auto"/>
          <w:bottom w:val="none" w:sz="0" w:space="0" w:color="auto"/>
          <w:right w:val="none" w:sz="0" w:space="0" w:color="auto"/>
        </w:pBdr>
        <w:spacing w:before="500" w:after="0"/>
        <w:ind w:left="0" w:right="0"/>
        <w:jc w:val="center"/>
        <w:rPr>
          <w:rFonts w:ascii="Open Sans" w:eastAsia="Open Sans" w:hAnsi="Open Sans" w:cs="Open Sans"/>
          <w:b w:val="0"/>
          <w:bCs w:val="0"/>
          <w:i/>
          <w:iCs/>
          <w:vanish/>
          <w:color w:val="050505"/>
          <w:sz w:val="20"/>
          <w:szCs w:val="20"/>
          <w:bdr w:val="none" w:sz="0" w:space="0" w:color="auto"/>
          <w:vertAlign w:val="baseline"/>
        </w:rPr>
      </w:pPr>
      <w:r>
        <w:rPr>
          <w:rFonts w:ascii="Open Sans" w:eastAsia="Open Sans" w:hAnsi="Open Sans" w:cs="Open Sans"/>
          <w:b w:val="0"/>
          <w:bCs w:val="0"/>
          <w:i/>
          <w:iCs/>
          <w:color w:val="050505"/>
          <w:sz w:val="20"/>
          <w:szCs w:val="20"/>
          <w:bdr w:val="none" w:sz="0" w:space="0" w:color="auto"/>
          <w:vertAlign w:val="baseline"/>
        </w:rPr>
        <w:t> </w:t>
      </w:r>
    </w:p>
    <w:p>
      <w:pPr>
        <w:pStyle w:val="p"/>
        <w:pBdr>
          <w:top w:val="none" w:sz="0" w:space="0" w:color="auto"/>
          <w:left w:val="none" w:sz="0" w:space="0" w:color="auto"/>
          <w:bottom w:val="none" w:sz="0" w:space="0" w:color="auto"/>
          <w:right w:val="none" w:sz="0" w:space="0" w:color="auto"/>
        </w:pBdr>
        <w:spacing w:before="0" w:after="0"/>
        <w:ind w:left="0" w:right="0"/>
        <w:jc w:val="center"/>
        <w:rPr>
          <w:rFonts w:ascii="Open Sans" w:eastAsia="Open Sans" w:hAnsi="Open Sans" w:cs="Open Sans"/>
          <w:b w:val="0"/>
          <w:bCs w:val="0"/>
          <w:i/>
          <w:iCs/>
          <w:color w:val="050505"/>
          <w:sz w:val="20"/>
          <w:szCs w:val="20"/>
          <w:bdr w:val="none" w:sz="0" w:space="0" w:color="auto"/>
          <w:vertAlign w:val="baseline"/>
        </w:rPr>
      </w:pPr>
      <w:r>
        <w:rPr>
          <w:rFonts w:ascii="Open Sans" w:eastAsia="Open Sans" w:hAnsi="Open Sans" w:cs="Open Sans"/>
          <w:b w:val="0"/>
          <w:bCs w:val="0"/>
          <w:i/>
          <w:iCs/>
          <w:color w:val="050505"/>
          <w:sz w:val="20"/>
          <w:szCs w:val="20"/>
          <w:bdr w:val="none" w:sz="0" w:space="0" w:color="auto"/>
          <w:vertAlign w:val="baseline"/>
        </w:rPr>
        <w:t>Skilled in managing BI operations, ensuring timely dashboard refreshes and adherence to reporting SLAs. Proficient in incident and change management for enterprise reporting platforms, with a strong focus on data quality monitoring and SQL validation. Demonstrated ability to coordinate with stakeholders and implement governance processes for secure and efficient data management.</w:t>
      </w:r>
    </w:p>
    <w:p>
      <w:pPr>
        <w:pStyle w:val="skn-slo6sectiontitle"/>
        <w:pBdr>
          <w:top w:val="none" w:sz="0" w:space="0" w:color="auto"/>
          <w:left w:val="none" w:sz="0" w:space="0" w:color="auto"/>
          <w:bottom w:val="single" w:sz="8" w:space="0" w:color="469FBE"/>
          <w:right w:val="none" w:sz="0" w:space="0" w:color="auto"/>
        </w:pBdr>
        <w:spacing w:before="500" w:after="0"/>
        <w:ind w:left="0" w:right="0"/>
        <w:rPr>
          <w:rFonts w:ascii="Open Sans" w:eastAsia="Open Sans" w:hAnsi="Open Sans" w:cs="Open Sans"/>
          <w:b/>
          <w:bCs/>
          <w:caps/>
          <w:color w:val="469FBE"/>
          <w:bdr w:val="none" w:sz="0" w:space="0" w:color="auto"/>
          <w:vertAlign w:val="baseline"/>
        </w:rPr>
      </w:pPr>
      <w:r>
        <w:rPr>
          <w:rFonts w:ascii="Open Sans" w:eastAsia="Open Sans" w:hAnsi="Open Sans" w:cs="Open Sans"/>
          <w:bdr w:val="none" w:sz="0" w:space="0" w:color="auto"/>
          <w:vertAlign w:val="baseline"/>
        </w:rPr>
        <w:t>Skills</w:t>
      </w:r>
    </w:p>
    <w:p>
      <w:pPr>
        <w:pStyle w:val="div"/>
        <w:pBdr>
          <w:top w:val="none" w:sz="0" w:space="0" w:color="auto"/>
          <w:left w:val="none" w:sz="0" w:space="0" w:color="auto"/>
          <w:bottom w:val="single" w:sz="8" w:space="0" w:color="469FBE"/>
          <w:right w:val="none" w:sz="0" w:space="0" w:color="auto"/>
        </w:pBdr>
        <w:spacing w:before="0" w:after="0" w:line="140" w:lineRule="exact"/>
        <w:ind w:left="0" w:right="0"/>
        <w:rPr>
          <w:rFonts w:ascii="Open Sans" w:eastAsia="Open Sans" w:hAnsi="Open Sans" w:cs="Open Sans"/>
          <w:b w:val="0"/>
          <w:bCs w:val="0"/>
          <w:color w:val="050505"/>
          <w:sz w:val="0"/>
          <w:szCs w:val="0"/>
          <w:bdr w:val="none" w:sz="0" w:space="0" w:color="auto"/>
          <w:vertAlign w:val="baseline"/>
        </w:rPr>
      </w:pPr>
    </w:p>
    <w:p>
      <w:pPr>
        <w:pStyle w:val="div"/>
        <w:pBdr>
          <w:top w:val="none" w:sz="0" w:space="0" w:color="auto"/>
          <w:left w:val="none" w:sz="0" w:space="0" w:color="auto"/>
          <w:bottom w:val="none" w:sz="0" w:space="0" w:color="auto"/>
          <w:right w:val="none" w:sz="0" w:space="0" w:color="auto"/>
        </w:pBdr>
        <w:spacing w:before="0" w:after="0" w:line="200" w:lineRule="exact"/>
        <w:ind w:left="0" w:right="0"/>
        <w:rPr>
          <w:rFonts w:ascii="Open Sans" w:eastAsia="Open Sans" w:hAnsi="Open Sans" w:cs="Open Sans"/>
          <w:b w:val="0"/>
          <w:bCs w:val="0"/>
          <w:color w:val="050505"/>
          <w:sz w:val="0"/>
          <w:szCs w:val="0"/>
          <w:bdr w:val="none" w:sz="0" w:space="0" w:color="auto"/>
          <w:vertAlign w:val="baseline"/>
        </w:rPr>
      </w:pPr>
    </w:p>
    <w:tbl>
      <w:tblPr>
        <w:tblW w:w="10520" w:type="dxa"/>
        <w:jc w:val="left"/>
        <w:tblInd w:w="0" w:type="dxa"/>
        <w:tblCellMar>
          <w:left w:w="108" w:type="dxa"/>
          <w:right w:w="108" w:type="dxa"/>
        </w:tblCellMar>
      </w:tblPr>
      <w:tblGrid>
        <w:gridCol w:w="5260"/>
        <w:gridCol w:w="5260"/>
      </w:tblGrid>
      <w:tr>
        <w:tblPrEx>
          <w:tblW w:w="10520" w:type="dxa"/>
          <w:jc w:val="left"/>
          <w:tblInd w:w="0" w:type="dxa"/>
          <w:tblCellMar>
            <w:left w:w="108" w:type="dxa"/>
            <w:right w:w="108" w:type="dxa"/>
          </w:tblCellMar>
        </w:tblPrEx>
        <w:trPr>
          <w:jc w:val="left"/>
        </w:trPr>
        <w:tc>
          <w:tcPr>
            <w:tcW w:w="5260" w:type="dxa"/>
            <w:tcMar>
              <w:left w:w="0" w:type="dxa"/>
            </w:tcMar>
            <w:vAlign w:val="top"/>
          </w:tcPr>
          <w:p>
            <w:pPr>
              <w:pStyle w:val="skn-slo6cmn-secparagraphany"/>
              <w:numPr>
                <w:ilvl w:val="0"/>
                <w:numId w:val="1"/>
              </w:numPr>
              <w:tabs>
                <w:tab w:val="left" w:pos="760"/>
              </w:tabs>
              <w:spacing w:before="0" w:after="100"/>
              <w:ind w:left="900" w:right="0" w:hanging="500"/>
              <w:rPr>
                <w:rStyle w:val="skn-slo6cmn-secparagraph"/>
                <w:b w:val="0"/>
                <w:bCs w:val="0"/>
                <w:color w:val="050505"/>
                <w:sz w:val="20"/>
                <w:szCs w:val="20"/>
                <w:bdr w:val="none" w:sz="0" w:space="0" w:color="auto"/>
                <w:vertAlign w:val="baseline"/>
              </w:rPr>
            </w:pPr>
            <w:r>
              <w:rPr>
                <w:rStyle w:val="skn-slo6cmn-secparagraph"/>
                <w:b w:val="0"/>
                <w:bCs w:val="0"/>
                <w:color w:val="050505"/>
                <w:bdr w:val="none" w:sz="0" w:space="0" w:color="auto"/>
                <w:vertAlign w:val="baseline"/>
              </w:rPr>
              <w:t>BI Operations Management</w:t>
            </w:r>
          </w:p>
        </w:tc>
        <w:tc>
          <w:tcPr>
            <w:tcW w:w="5260" w:type="dxa"/>
            <w:tcMar>
              <w:left w:w="0" w:type="dxa"/>
            </w:tcMar>
            <w:vAlign w:val="top"/>
          </w:tcPr>
          <w:p>
            <w:pPr>
              <w:pStyle w:val="skn-slo6cmn-secparagraphany"/>
              <w:numPr>
                <w:ilvl w:val="0"/>
                <w:numId w:val="2"/>
              </w:numPr>
              <w:tabs>
                <w:tab w:val="left" w:pos="760"/>
              </w:tabs>
              <w:spacing w:before="0" w:after="100"/>
              <w:ind w:left="900" w:right="0" w:hanging="500"/>
              <w:rPr>
                <w:rStyle w:val="skn-slo6cmn-secparagraph"/>
                <w:b w:val="0"/>
                <w:bCs w:val="0"/>
                <w:color w:val="050505"/>
                <w:sz w:val="20"/>
                <w:szCs w:val="20"/>
                <w:bdr w:val="none" w:sz="0" w:space="0" w:color="auto"/>
                <w:vertAlign w:val="baseline"/>
              </w:rPr>
            </w:pPr>
            <w:r>
              <w:rPr>
                <w:rStyle w:val="skn-slo6cmn-secparagraph"/>
                <w:b w:val="0"/>
                <w:bCs w:val="0"/>
                <w:color w:val="050505"/>
                <w:bdr w:val="none" w:sz="0" w:space="0" w:color="auto"/>
                <w:vertAlign w:val="baseline"/>
              </w:rPr>
              <w:t>Reporting SLA Management</w:t>
            </w:r>
          </w:p>
        </w:tc>
      </w:tr>
      <w:tr>
        <w:tblPrEx>
          <w:tblW w:w="10520" w:type="dxa"/>
          <w:jc w:val="left"/>
          <w:tblInd w:w="0" w:type="dxa"/>
          <w:tblCellMar>
            <w:left w:w="108" w:type="dxa"/>
            <w:right w:w="108" w:type="dxa"/>
          </w:tblCellMar>
        </w:tblPrEx>
        <w:trPr>
          <w:jc w:val="left"/>
        </w:trPr>
        <w:tc>
          <w:tcPr>
            <w:tcW w:w="5260" w:type="dxa"/>
            <w:tcMar>
              <w:left w:w="0" w:type="dxa"/>
            </w:tcMar>
            <w:vAlign w:val="top"/>
          </w:tcPr>
          <w:p>
            <w:pPr>
              <w:pStyle w:val="skn-slo6cmn-secparagraphany"/>
              <w:numPr>
                <w:ilvl w:val="0"/>
                <w:numId w:val="3"/>
              </w:numPr>
              <w:tabs>
                <w:tab w:val="left" w:pos="760"/>
              </w:tabs>
              <w:spacing w:before="0" w:after="100"/>
              <w:ind w:left="900" w:right="0" w:hanging="500"/>
              <w:rPr>
                <w:rStyle w:val="skn-slo6cmn-secparagraph"/>
                <w:b w:val="0"/>
                <w:bCs w:val="0"/>
                <w:color w:val="050505"/>
                <w:sz w:val="20"/>
                <w:szCs w:val="20"/>
                <w:bdr w:val="none" w:sz="0" w:space="0" w:color="auto"/>
                <w:vertAlign w:val="baseline"/>
              </w:rPr>
            </w:pPr>
            <w:r>
              <w:rPr>
                <w:rStyle w:val="skn-slo6cmn-secparagraph"/>
                <w:b w:val="0"/>
                <w:bCs w:val="0"/>
                <w:color w:val="050505"/>
                <w:bdr w:val="none" w:sz="0" w:space="0" w:color="auto"/>
                <w:vertAlign w:val="baseline"/>
              </w:rPr>
              <w:t>Power BI Administration</w:t>
            </w:r>
          </w:p>
        </w:tc>
        <w:tc>
          <w:tcPr>
            <w:tcW w:w="5260" w:type="dxa"/>
            <w:tcMar>
              <w:left w:w="0" w:type="dxa"/>
            </w:tcMar>
            <w:vAlign w:val="top"/>
          </w:tcPr>
          <w:p>
            <w:pPr>
              <w:pStyle w:val="skn-slo6cmn-secparagraphany"/>
              <w:numPr>
                <w:ilvl w:val="0"/>
                <w:numId w:val="4"/>
              </w:numPr>
              <w:tabs>
                <w:tab w:val="left" w:pos="760"/>
              </w:tabs>
              <w:spacing w:before="0" w:after="100"/>
              <w:ind w:left="900" w:right="0" w:hanging="500"/>
              <w:rPr>
                <w:rStyle w:val="skn-slo6cmn-secparagraph"/>
                <w:b w:val="0"/>
                <w:bCs w:val="0"/>
                <w:color w:val="050505"/>
                <w:sz w:val="20"/>
                <w:szCs w:val="20"/>
                <w:bdr w:val="none" w:sz="0" w:space="0" w:color="auto"/>
                <w:vertAlign w:val="baseline"/>
              </w:rPr>
            </w:pPr>
            <w:r>
              <w:rPr>
                <w:rStyle w:val="skn-slo6cmn-secparagraph"/>
                <w:b w:val="0"/>
                <w:bCs w:val="0"/>
                <w:color w:val="050505"/>
                <w:bdr w:val="none" w:sz="0" w:space="0" w:color="auto"/>
                <w:vertAlign w:val="baseline"/>
              </w:rPr>
              <w:t>Data Quality Monitoring</w:t>
            </w:r>
          </w:p>
        </w:tc>
      </w:tr>
      <w:tr>
        <w:tblPrEx>
          <w:tblW w:w="10520" w:type="dxa"/>
          <w:jc w:val="left"/>
          <w:tblInd w:w="0" w:type="dxa"/>
          <w:tblCellMar>
            <w:left w:w="108" w:type="dxa"/>
            <w:right w:w="108" w:type="dxa"/>
          </w:tblCellMar>
        </w:tblPrEx>
        <w:trPr>
          <w:jc w:val="left"/>
        </w:trPr>
        <w:tc>
          <w:tcPr>
            <w:tcW w:w="5260" w:type="dxa"/>
            <w:tcMar>
              <w:left w:w="0" w:type="dxa"/>
            </w:tcMar>
            <w:vAlign w:val="top"/>
          </w:tcPr>
          <w:p>
            <w:pPr>
              <w:pStyle w:val="skn-slo6cmn-secparagraphany"/>
              <w:numPr>
                <w:ilvl w:val="0"/>
                <w:numId w:val="5"/>
              </w:numPr>
              <w:tabs>
                <w:tab w:val="left" w:pos="760"/>
              </w:tabs>
              <w:spacing w:before="0" w:after="100"/>
              <w:ind w:left="900" w:right="0" w:hanging="500"/>
              <w:rPr>
                <w:rStyle w:val="skn-slo6cmn-secparagraph"/>
                <w:b w:val="0"/>
                <w:bCs w:val="0"/>
                <w:color w:val="050505"/>
                <w:sz w:val="20"/>
                <w:szCs w:val="20"/>
                <w:bdr w:val="none" w:sz="0" w:space="0" w:color="auto"/>
                <w:vertAlign w:val="baseline"/>
              </w:rPr>
            </w:pPr>
            <w:r>
              <w:rPr>
                <w:rStyle w:val="skn-slo6cmn-secparagraph"/>
                <w:b w:val="0"/>
                <w:bCs w:val="0"/>
                <w:color w:val="050505"/>
                <w:bdr w:val="none" w:sz="0" w:space="0" w:color="auto"/>
                <w:vertAlign w:val="baseline"/>
              </w:rPr>
              <w:t>Incident and Change Management</w:t>
            </w:r>
          </w:p>
        </w:tc>
        <w:tc>
          <w:tcPr>
            <w:tcW w:w="5260" w:type="dxa"/>
            <w:tcMar>
              <w:left w:w="0" w:type="dxa"/>
            </w:tcMar>
            <w:vAlign w:val="top"/>
          </w:tcPr>
          <w:p>
            <w:pPr>
              <w:pStyle w:val="skn-slo6cmn-secparagraphany"/>
              <w:numPr>
                <w:ilvl w:val="0"/>
                <w:numId w:val="6"/>
              </w:numPr>
              <w:tabs>
                <w:tab w:val="left" w:pos="760"/>
              </w:tabs>
              <w:spacing w:before="0" w:after="100"/>
              <w:ind w:left="900" w:right="0" w:hanging="500"/>
              <w:rPr>
                <w:rStyle w:val="skn-slo6cmn-secparagraph"/>
                <w:b w:val="0"/>
                <w:bCs w:val="0"/>
                <w:color w:val="050505"/>
                <w:sz w:val="20"/>
                <w:szCs w:val="20"/>
                <w:bdr w:val="none" w:sz="0" w:space="0" w:color="auto"/>
                <w:vertAlign w:val="baseline"/>
              </w:rPr>
            </w:pPr>
            <w:r>
              <w:rPr>
                <w:rStyle w:val="skn-slo6cmn-secparagraph"/>
                <w:b w:val="0"/>
                <w:bCs w:val="0"/>
                <w:color w:val="050505"/>
                <w:bdr w:val="none" w:sz="0" w:space="0" w:color="auto"/>
                <w:vertAlign w:val="baseline"/>
              </w:rPr>
              <w:t>SQL Validation</w:t>
            </w:r>
          </w:p>
        </w:tc>
      </w:tr>
      <w:tr>
        <w:tblPrEx>
          <w:tblW w:w="10520" w:type="dxa"/>
          <w:jc w:val="left"/>
          <w:tblInd w:w="0" w:type="dxa"/>
          <w:tblCellMar>
            <w:left w:w="108" w:type="dxa"/>
            <w:right w:w="108" w:type="dxa"/>
          </w:tblCellMar>
        </w:tblPrEx>
        <w:trPr>
          <w:jc w:val="left"/>
        </w:trPr>
        <w:tc>
          <w:tcPr>
            <w:tcW w:w="5260" w:type="dxa"/>
            <w:tcMar>
              <w:left w:w="0" w:type="dxa"/>
            </w:tcMar>
            <w:vAlign w:val="top"/>
          </w:tcPr>
          <w:p>
            <w:pPr>
              <w:pStyle w:val="skn-slo6cmn-secparagraphany"/>
              <w:numPr>
                <w:ilvl w:val="0"/>
                <w:numId w:val="7"/>
              </w:numPr>
              <w:tabs>
                <w:tab w:val="left" w:pos="760"/>
              </w:tabs>
              <w:spacing w:before="0" w:after="100"/>
              <w:ind w:left="900" w:right="0" w:hanging="500"/>
              <w:rPr>
                <w:rStyle w:val="skn-slo6cmn-secparagraph"/>
                <w:b w:val="0"/>
                <w:bCs w:val="0"/>
                <w:color w:val="050505"/>
                <w:sz w:val="20"/>
                <w:szCs w:val="20"/>
                <w:bdr w:val="none" w:sz="0" w:space="0" w:color="auto"/>
                <w:vertAlign w:val="baseline"/>
              </w:rPr>
            </w:pPr>
            <w:r>
              <w:rPr>
                <w:rStyle w:val="skn-slo6cmn-secparagraph"/>
                <w:b w:val="0"/>
                <w:bCs w:val="0"/>
                <w:color w:val="050505"/>
                <w:bdr w:val="none" w:sz="0" w:space="0" w:color="auto"/>
                <w:vertAlign w:val="baseline"/>
              </w:rPr>
              <w:t>User Access Control</w:t>
            </w:r>
          </w:p>
        </w:tc>
        <w:tc>
          <w:tcPr>
            <w:tcW w:w="5260" w:type="dxa"/>
            <w:tcMar>
              <w:left w:w="0" w:type="dxa"/>
            </w:tcMar>
            <w:vAlign w:val="top"/>
          </w:tcPr>
          <w:p>
            <w:pPr>
              <w:pStyle w:val="skn-slo6cmn-secparagraphany"/>
              <w:numPr>
                <w:ilvl w:val="0"/>
                <w:numId w:val="8"/>
              </w:numPr>
              <w:tabs>
                <w:tab w:val="left" w:pos="760"/>
              </w:tabs>
              <w:spacing w:before="0" w:after="100"/>
              <w:ind w:left="900" w:right="0" w:hanging="500"/>
              <w:rPr>
                <w:rStyle w:val="skn-slo6cmn-secparagraph"/>
                <w:b w:val="0"/>
                <w:bCs w:val="0"/>
                <w:color w:val="050505"/>
                <w:sz w:val="20"/>
                <w:szCs w:val="20"/>
                <w:bdr w:val="none" w:sz="0" w:space="0" w:color="auto"/>
                <w:vertAlign w:val="baseline"/>
              </w:rPr>
            </w:pPr>
            <w:r>
              <w:rPr>
                <w:rStyle w:val="skn-slo6cmn-secparagraph"/>
                <w:b w:val="0"/>
                <w:bCs w:val="0"/>
                <w:color w:val="050505"/>
                <w:bdr w:val="none" w:sz="0" w:space="0" w:color="auto"/>
                <w:vertAlign w:val="baseline"/>
              </w:rPr>
              <w:t>Dashboard Support</w:t>
            </w:r>
          </w:p>
        </w:tc>
      </w:tr>
      <w:tr>
        <w:tblPrEx>
          <w:tblW w:w="10520" w:type="dxa"/>
          <w:jc w:val="left"/>
          <w:tblInd w:w="0" w:type="dxa"/>
          <w:tblCellMar>
            <w:left w:w="108" w:type="dxa"/>
            <w:right w:w="108" w:type="dxa"/>
          </w:tblCellMar>
        </w:tblPrEx>
        <w:trPr>
          <w:jc w:val="left"/>
        </w:trPr>
        <w:tc>
          <w:tcPr>
            <w:tcW w:w="5260" w:type="dxa"/>
            <w:tcMar>
              <w:left w:w="0" w:type="dxa"/>
            </w:tcMar>
            <w:vAlign w:val="top"/>
          </w:tcPr>
          <w:p>
            <w:pPr>
              <w:pStyle w:val="skn-slo6cmn-secparagraphany"/>
              <w:numPr>
                <w:ilvl w:val="0"/>
                <w:numId w:val="9"/>
              </w:numPr>
              <w:tabs>
                <w:tab w:val="left" w:pos="760"/>
              </w:tabs>
              <w:spacing w:before="0" w:after="0"/>
              <w:ind w:left="900" w:right="0" w:hanging="500"/>
              <w:rPr>
                <w:rStyle w:val="skn-slo6cmn-secparagraphnth-last-child2"/>
                <w:rFonts w:ascii="Open Sans" w:eastAsia="Open Sans" w:hAnsi="Open Sans" w:cs="Open Sans"/>
                <w:b w:val="0"/>
                <w:bCs w:val="0"/>
                <w:color w:val="050505"/>
                <w:sz w:val="20"/>
                <w:szCs w:val="20"/>
                <w:bdr w:val="none" w:sz="0" w:space="0" w:color="auto"/>
                <w:vertAlign w:val="baseline"/>
              </w:rPr>
            </w:pPr>
            <w:r>
              <w:rPr>
                <w:rStyle w:val="skn-slo6cmn-secparagraphnth-last-child2"/>
                <w:rFonts w:ascii="Open Sans" w:eastAsia="Open Sans" w:hAnsi="Open Sans" w:cs="Open Sans"/>
                <w:b w:val="0"/>
                <w:bCs w:val="0"/>
                <w:color w:val="050505"/>
                <w:bdr w:val="none" w:sz="0" w:space="0" w:color="auto"/>
                <w:vertAlign w:val="baseline"/>
              </w:rPr>
              <w:t>Process Documentation</w:t>
            </w:r>
          </w:p>
        </w:tc>
        <w:tc>
          <w:tcPr>
            <w:tcW w:w="5260" w:type="dxa"/>
            <w:tcMar>
              <w:left w:w="0" w:type="dxa"/>
            </w:tcMar>
            <w:vAlign w:val="top"/>
          </w:tcPr>
          <w:p>
            <w:pPr>
              <w:pStyle w:val="skn-slo6cmn-secparagraphany"/>
              <w:numPr>
                <w:ilvl w:val="0"/>
                <w:numId w:val="10"/>
              </w:numPr>
              <w:tabs>
                <w:tab w:val="left" w:pos="760"/>
              </w:tabs>
              <w:spacing w:before="0" w:after="0"/>
              <w:ind w:left="900" w:right="0" w:hanging="500"/>
              <w:rPr>
                <w:rStyle w:val="skn-slo6cmn-secparagraphnth-last-child1"/>
                <w:rFonts w:ascii="Open Sans" w:eastAsia="Open Sans" w:hAnsi="Open Sans" w:cs="Open Sans"/>
                <w:b w:val="0"/>
                <w:bCs w:val="0"/>
                <w:color w:val="050505"/>
                <w:sz w:val="20"/>
                <w:szCs w:val="20"/>
                <w:bdr w:val="none" w:sz="0" w:space="0" w:color="auto"/>
                <w:vertAlign w:val="baseline"/>
              </w:rPr>
            </w:pPr>
            <w:r>
              <w:rPr>
                <w:rStyle w:val="skn-slo6cmn-secparagraphnth-last-child1"/>
                <w:rFonts w:ascii="Open Sans" w:eastAsia="Open Sans" w:hAnsi="Open Sans" w:cs="Open Sans"/>
                <w:b w:val="0"/>
                <w:bCs w:val="0"/>
                <w:color w:val="050505"/>
                <w:bdr w:val="none" w:sz="0" w:space="0" w:color="auto"/>
                <w:vertAlign w:val="baseline"/>
              </w:rPr>
              <w:t>Stakeholder Coordination</w:t>
            </w:r>
          </w:p>
        </w:tc>
      </w:tr>
    </w:tbl>
    <w:p>
      <w:pPr>
        <w:pStyle w:val="skn-slo6parent-containersectionnth-child1"/>
        <w:pBdr>
          <w:top w:val="none" w:sz="0" w:space="0" w:color="auto"/>
          <w:left w:val="none" w:sz="0" w:space="0" w:color="auto"/>
          <w:bottom w:val="none" w:sz="0" w:space="0" w:color="auto"/>
          <w:right w:val="none" w:sz="0" w:space="0" w:color="auto"/>
        </w:pBdr>
        <w:spacing w:before="0" w:line="500" w:lineRule="exact"/>
        <w:ind w:left="0" w:right="0"/>
        <w:rPr>
          <w:rFonts w:ascii="Open Sans" w:eastAsia="Open Sans" w:hAnsi="Open Sans" w:cs="Open Sans"/>
          <w:b w:val="0"/>
          <w:bCs w:val="0"/>
          <w:color w:val="050505"/>
          <w:sz w:val="20"/>
          <w:szCs w:val="20"/>
          <w:bdr w:val="none" w:sz="0" w:space="0" w:color="auto"/>
          <w:vertAlign w:val="baseline"/>
        </w:rPr>
      </w:pPr>
    </w:p>
    <w:p>
      <w:pPr>
        <w:pStyle w:val="skn-slo6sectiontitle"/>
        <w:pBdr>
          <w:top w:val="none" w:sz="0" w:space="0" w:color="auto"/>
          <w:left w:val="none" w:sz="0" w:space="0" w:color="auto"/>
          <w:bottom w:val="single" w:sz="8" w:space="0" w:color="469FBE"/>
          <w:right w:val="none" w:sz="0" w:space="0" w:color="auto"/>
        </w:pBdr>
        <w:spacing w:before="0" w:after="0"/>
        <w:ind w:left="0" w:right="0"/>
        <w:rPr>
          <w:rFonts w:ascii="Open Sans" w:eastAsia="Open Sans" w:hAnsi="Open Sans" w:cs="Open Sans"/>
          <w:b/>
          <w:bCs/>
          <w:caps/>
          <w:color w:val="469FBE"/>
          <w:bdr w:val="none" w:sz="0" w:space="0" w:color="auto"/>
          <w:vertAlign w:val="baseline"/>
        </w:rPr>
      </w:pPr>
      <w:r>
        <w:rPr>
          <w:rFonts w:ascii="Open Sans" w:eastAsia="Open Sans" w:hAnsi="Open Sans" w:cs="Open Sans"/>
          <w:bdr w:val="none" w:sz="0" w:space="0" w:color="auto"/>
          <w:vertAlign w:val="baseline"/>
        </w:rPr>
        <w:t>Experience</w:t>
      </w:r>
    </w:p>
    <w:p>
      <w:pPr>
        <w:pStyle w:val="div"/>
        <w:pBdr>
          <w:top w:val="none" w:sz="0" w:space="0" w:color="auto"/>
          <w:left w:val="none" w:sz="0" w:space="0" w:color="auto"/>
          <w:bottom w:val="single" w:sz="8" w:space="0" w:color="469FBE"/>
          <w:right w:val="none" w:sz="0" w:space="0" w:color="auto"/>
        </w:pBdr>
        <w:spacing w:before="0" w:after="0" w:line="140" w:lineRule="exact"/>
        <w:ind w:left="0" w:right="0"/>
        <w:rPr>
          <w:rFonts w:ascii="Open Sans" w:eastAsia="Open Sans" w:hAnsi="Open Sans" w:cs="Open Sans"/>
          <w:b w:val="0"/>
          <w:bCs w:val="0"/>
          <w:color w:val="050505"/>
          <w:sz w:val="20"/>
          <w:szCs w:val="20"/>
          <w:bdr w:val="none" w:sz="0" w:space="0" w:color="auto"/>
          <w:vertAlign w:val="baseline"/>
        </w:rPr>
      </w:pPr>
    </w:p>
    <w:p>
      <w:pPr>
        <w:pStyle w:val="div"/>
        <w:pBdr>
          <w:top w:val="none" w:sz="0" w:space="0" w:color="auto"/>
          <w:left w:val="none" w:sz="0" w:space="0" w:color="auto"/>
          <w:bottom w:val="none" w:sz="0" w:space="0" w:color="auto"/>
          <w:right w:val="none" w:sz="0" w:space="0" w:color="auto"/>
        </w:pBdr>
        <w:spacing w:before="0" w:after="0" w:line="200" w:lineRule="exact"/>
        <w:ind w:left="0" w:right="0"/>
        <w:rPr>
          <w:rFonts w:ascii="Open Sans" w:eastAsia="Open Sans" w:hAnsi="Open Sans" w:cs="Open Sans"/>
          <w:b w:val="0"/>
          <w:bCs w:val="0"/>
          <w:color w:val="050505"/>
          <w:sz w:val="20"/>
          <w:szCs w:val="20"/>
          <w:bdr w:val="none" w:sz="0" w:space="0" w:color="auto"/>
          <w:vertAlign w:val="baseline"/>
        </w:rPr>
      </w:pPr>
    </w:p>
    <w:p>
      <w:pPr>
        <w:pStyle w:val="firstparagraphparaSpacing"/>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vanish/>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 </w:t>
      </w:r>
    </w:p>
    <w:tbl>
      <w:tblPr>
        <w:tblStyle w:val="skn-slo6disp-blockTable"/>
        <w:tblW w:w="0" w:type="auto"/>
        <w:tblCellSpacing w:w="0" w:type="dxa"/>
        <w:tblLayout w:type="fixed"/>
        <w:tblCellMar>
          <w:top w:w="0" w:type="dxa"/>
          <w:left w:w="0" w:type="dxa"/>
          <w:bottom w:w="0" w:type="dxa"/>
          <w:right w:w="0" w:type="dxa"/>
        </w:tblCellMar>
        <w:tblLook w:val="05E0"/>
      </w:tblPr>
      <w:tblGrid>
        <w:gridCol w:w="5260"/>
        <w:gridCol w:w="52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5260" w:type="dxa"/>
            <w:tcMar>
              <w:top w:w="0" w:type="dxa"/>
              <w:left w:w="0" w:type="dxa"/>
              <w:bottom w:w="0" w:type="dxa"/>
              <w:right w:w="0" w:type="dxa"/>
            </w:tcMar>
            <w:vAlign w:val="top"/>
            <w:hideMark/>
          </w:tcPr>
          <w:p>
            <w:pPr>
              <w:pStyle w:val="skn-slo6txt-caps"/>
              <w:pBdr>
                <w:bottom w:val="none" w:sz="0" w:space="2" w:color="auto"/>
              </w:pBdr>
              <w:spacing w:before="0" w:after="0"/>
              <w:ind w:left="0" w:right="0"/>
              <w:rPr>
                <w:rStyle w:val="skn-slo6tbl-inner"/>
                <w:rFonts w:ascii="Open Sans" w:eastAsia="Open Sans" w:hAnsi="Open Sans" w:cs="Open Sans"/>
                <w:b/>
                <w:bCs/>
                <w:caps/>
                <w:color w:val="050505"/>
                <w:sz w:val="20"/>
                <w:szCs w:val="20"/>
                <w:bdr w:val="none" w:sz="0" w:space="0" w:color="auto"/>
                <w:vertAlign w:val="baseline"/>
              </w:rPr>
            </w:pPr>
            <w:r>
              <w:rPr>
                <w:rStyle w:val="skn-slo6tbl-inner"/>
                <w:rFonts w:ascii="Open Sans" w:eastAsia="Open Sans" w:hAnsi="Open Sans" w:cs="Open Sans"/>
                <w:b/>
                <w:bCs/>
                <w:caps/>
                <w:color w:val="050505"/>
                <w:sz w:val="20"/>
                <w:szCs w:val="20"/>
                <w:bdr w:val="none" w:sz="0" w:space="0" w:color="auto"/>
                <w:vertAlign w:val="baseline"/>
              </w:rPr>
              <w:t>Business Intelligence Operations Manager</w:t>
            </w:r>
          </w:p>
          <w:p>
            <w:pPr>
              <w:pStyle w:val="skn-slo6disp-block"/>
              <w:spacing w:before="0" w:after="0"/>
              <w:ind w:left="0" w:right="0"/>
              <w:rPr>
                <w:rStyle w:val="skn-slo6tbl-inner"/>
                <w:rFonts w:ascii="Open Sans" w:eastAsia="Open Sans" w:hAnsi="Open Sans" w:cs="Open Sans"/>
                <w:b w:val="0"/>
                <w:bCs w:val="0"/>
                <w:color w:val="050505"/>
                <w:sz w:val="20"/>
                <w:szCs w:val="20"/>
                <w:bdr w:val="none" w:sz="0" w:space="0" w:color="auto"/>
                <w:vertAlign w:val="baseline"/>
              </w:rPr>
            </w:pPr>
            <w:r>
              <w:rPr>
                <w:rStyle w:val="skn-slo6txt-nrml"/>
                <w:rFonts w:ascii="Open Sans" w:eastAsia="Open Sans" w:hAnsi="Open Sans" w:cs="Open Sans"/>
                <w:b w:val="0"/>
                <w:bCs w:val="0"/>
                <w:color w:val="050505"/>
                <w:sz w:val="20"/>
                <w:szCs w:val="20"/>
              </w:rPr>
              <w:t>Genpact India Pvt Ltd</w:t>
            </w:r>
          </w:p>
        </w:tc>
        <w:tc>
          <w:tcPr>
            <w:tcW w:w="5260" w:type="dxa"/>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ind w:left="0" w:right="0"/>
              <w:jc w:val="right"/>
              <w:textAlignment w:val="auto"/>
              <w:rPr>
                <w:rStyle w:val="span"/>
                <w:rFonts w:ascii="Open Sans" w:eastAsia="Open Sans" w:hAnsi="Open Sans" w:cs="Open Sans"/>
                <w:b/>
                <w:bCs/>
                <w:color w:val="050505"/>
                <w:sz w:val="20"/>
                <w:szCs w:val="20"/>
              </w:rPr>
            </w:pPr>
            <w:r>
              <w:rPr>
                <w:rStyle w:val="span"/>
                <w:rFonts w:ascii="Open Sans" w:eastAsia="Open Sans" w:hAnsi="Open Sans" w:cs="Open Sans"/>
                <w:b/>
                <w:bCs/>
                <w:color w:val="050505"/>
                <w:sz w:val="20"/>
                <w:szCs w:val="20"/>
              </w:rPr>
              <w:t>Gurugram</w:t>
            </w:r>
            <w:r>
              <w:rPr>
                <w:rStyle w:val="span"/>
                <w:rFonts w:ascii="Open Sans" w:eastAsia="Open Sans" w:hAnsi="Open Sans" w:cs="Open Sans"/>
                <w:b/>
                <w:bCs/>
                <w:color w:val="050505"/>
                <w:sz w:val="20"/>
                <w:szCs w:val="20"/>
              </w:rPr>
              <w:t xml:space="preserve">, </w:t>
            </w:r>
            <w:r>
              <w:rPr>
                <w:rStyle w:val="skn-slo6txt-capsCharacter"/>
                <w:rFonts w:ascii="Open Sans" w:eastAsia="Open Sans" w:hAnsi="Open Sans" w:cs="Open Sans"/>
                <w:b/>
                <w:bCs/>
                <w:caps/>
                <w:color w:val="050505"/>
                <w:sz w:val="20"/>
                <w:szCs w:val="20"/>
              </w:rPr>
              <w:t>Haryana</w:t>
            </w:r>
            <w:r>
              <w:rPr>
                <w:rStyle w:val="skn-slo6tbl-innertbl-inner"/>
                <w:rFonts w:ascii="Open Sans" w:eastAsia="Open Sans" w:hAnsi="Open Sans" w:cs="Open Sans"/>
                <w:b/>
                <w:bCs/>
                <w:color w:val="050505"/>
                <w:sz w:val="20"/>
                <w:szCs w:val="20"/>
                <w:bdr w:val="none" w:sz="0" w:space="0" w:color="auto"/>
                <w:vertAlign w:val="baseline"/>
              </w:rPr>
              <w:t xml:space="preserve"> </w:t>
            </w:r>
          </w:p>
          <w:p>
            <w:pPr>
              <w:pStyle w:val="skn-slo6jobyear"/>
              <w:spacing w:before="0" w:after="0"/>
              <w:ind w:left="0" w:right="0"/>
              <w:jc w:val="right"/>
              <w:rPr>
                <w:rStyle w:val="skn-slo6tbl-innertbl-inner"/>
                <w:rFonts w:ascii="Open Sans" w:eastAsia="Open Sans" w:hAnsi="Open Sans" w:cs="Open Sans"/>
                <w:b w:val="0"/>
                <w:bCs w:val="0"/>
                <w:i/>
                <w:iCs/>
                <w:color w:val="050505"/>
                <w:sz w:val="20"/>
                <w:szCs w:val="20"/>
                <w:bdr w:val="none" w:sz="0" w:space="0" w:color="auto"/>
                <w:vertAlign w:val="baseline"/>
              </w:rPr>
            </w:pPr>
            <w:r>
              <w:rPr>
                <w:rStyle w:val="span"/>
                <w:rFonts w:ascii="Open Sans" w:eastAsia="Open Sans" w:hAnsi="Open Sans" w:cs="Open Sans"/>
                <w:b w:val="0"/>
                <w:bCs w:val="0"/>
                <w:i/>
                <w:iCs/>
                <w:color w:val="050505"/>
                <w:sz w:val="20"/>
                <w:szCs w:val="20"/>
              </w:rPr>
              <w:t>May 2021</w:t>
            </w:r>
            <w:r>
              <w:rPr>
                <w:rStyle w:val="span"/>
                <w:rFonts w:ascii="Open Sans" w:eastAsia="Open Sans" w:hAnsi="Open Sans" w:cs="Open Sans"/>
                <w:b w:val="0"/>
                <w:bCs w:val="0"/>
                <w:i/>
                <w:iCs/>
                <w:color w:val="050505"/>
                <w:sz w:val="20"/>
                <w:szCs w:val="20"/>
              </w:rPr>
              <w:t xml:space="preserve"> - </w:t>
            </w:r>
            <w:r>
              <w:rPr>
                <w:rStyle w:val="span"/>
                <w:rFonts w:ascii="Open Sans" w:eastAsia="Open Sans" w:hAnsi="Open Sans" w:cs="Open Sans"/>
                <w:b w:val="0"/>
                <w:bCs w:val="0"/>
                <w:i/>
                <w:iCs/>
                <w:color w:val="050505"/>
                <w:sz w:val="20"/>
                <w:szCs w:val="20"/>
              </w:rPr>
              <w:t>Present</w:t>
            </w:r>
          </w:p>
        </w:tc>
      </w:tr>
    </w:tbl>
    <w:p>
      <w:pPr>
        <w:pStyle w:val="ulli"/>
        <w:numPr>
          <w:ilvl w:val="0"/>
          <w:numId w:val="11"/>
        </w:numPr>
        <w:spacing w:before="160"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Managed daily BI operations ensuring timely dashboard refreshes and adherence to reporting service level agreements.</w:t>
      </w:r>
    </w:p>
    <w:p>
      <w:pPr>
        <w:pStyle w:val="ulli"/>
        <w:numPr>
          <w:ilvl w:val="0"/>
          <w:numId w:val="11"/>
        </w:numPr>
        <w:spacing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Led BI support team handling incidents, service requests, and change management for enterprise reporting platforms.</w:t>
      </w:r>
    </w:p>
    <w:p>
      <w:pPr>
        <w:pStyle w:val="ulli"/>
        <w:numPr>
          <w:ilvl w:val="0"/>
          <w:numId w:val="11"/>
        </w:numPr>
        <w:spacing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Monitored data quality checks and resolved recurring issues impacting business reports and dashboards.</w:t>
      </w:r>
    </w:p>
    <w:p>
      <w:pPr>
        <w:pStyle w:val="ulli"/>
        <w:numPr>
          <w:ilvl w:val="0"/>
          <w:numId w:val="11"/>
        </w:numPr>
        <w:spacing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Coordinated with data engineering teams to schedule ETL jobs and manage production data dependencies.</w:t>
      </w:r>
    </w:p>
    <w:p>
      <w:pPr>
        <w:pStyle w:val="ulli"/>
        <w:numPr>
          <w:ilvl w:val="0"/>
          <w:numId w:val="11"/>
        </w:numPr>
        <w:spacing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Implemented access control and governance processes for Power BI workspaces and datasets.</w:t>
      </w:r>
    </w:p>
    <w:p>
      <w:pPr>
        <w:pStyle w:val="ulli"/>
        <w:numPr>
          <w:ilvl w:val="0"/>
          <w:numId w:val="11"/>
        </w:numPr>
        <w:spacing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Prepared operational reports highlighting platform stability, incident trends, and resolution timelines.</w:t>
      </w:r>
    </w:p>
    <w:p>
      <w:pPr>
        <w:pStyle w:val="ullinth-last-child1"/>
        <w:numPr>
          <w:ilvl w:val="0"/>
          <w:numId w:val="11"/>
        </w:numPr>
        <w:pBdr>
          <w:left w:val="none" w:sz="0" w:space="8" w:color="auto"/>
        </w:pBdr>
        <w:spacing w:after="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Conducted stakeholder reviews to align BI operations performance with evolving business expectations.</w:t>
      </w:r>
    </w:p>
    <w:p>
      <w:pPr>
        <w:pStyle w:val="div"/>
        <w:pBdr>
          <w:top w:val="none" w:sz="0" w:space="0" w:color="auto"/>
          <w:left w:val="none" w:sz="0" w:space="0" w:color="auto"/>
          <w:bottom w:val="none" w:sz="0" w:space="0" w:color="auto"/>
          <w:right w:val="none" w:sz="0" w:space="0" w:color="auto"/>
        </w:pBdr>
        <w:spacing w:before="0" w:after="0" w:line="320" w:lineRule="exact"/>
        <w:ind w:left="0" w:right="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 </w:t>
      </w:r>
    </w:p>
    <w:tbl>
      <w:tblPr>
        <w:tblStyle w:val="skn-slo6disp-blockTable"/>
        <w:tblW w:w="0" w:type="auto"/>
        <w:tblCellSpacing w:w="0" w:type="dxa"/>
        <w:tblLayout w:type="fixed"/>
        <w:tblCellMar>
          <w:top w:w="0" w:type="dxa"/>
          <w:left w:w="0" w:type="dxa"/>
          <w:bottom w:w="0" w:type="dxa"/>
          <w:right w:w="0" w:type="dxa"/>
        </w:tblCellMar>
        <w:tblLook w:val="05E0"/>
      </w:tblPr>
      <w:tblGrid>
        <w:gridCol w:w="5260"/>
        <w:gridCol w:w="52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5260" w:type="dxa"/>
            <w:tcMar>
              <w:top w:w="0" w:type="dxa"/>
              <w:left w:w="0" w:type="dxa"/>
              <w:bottom w:w="0" w:type="dxa"/>
              <w:right w:w="0" w:type="dxa"/>
            </w:tcMar>
            <w:vAlign w:val="top"/>
            <w:hideMark/>
          </w:tcPr>
          <w:p>
            <w:pPr>
              <w:pStyle w:val="skn-slo6txt-caps"/>
              <w:pBdr>
                <w:bottom w:val="none" w:sz="0" w:space="2" w:color="auto"/>
              </w:pBdr>
              <w:spacing w:before="0" w:after="0"/>
              <w:ind w:left="0" w:right="0"/>
              <w:rPr>
                <w:rStyle w:val="skn-slo6tbl-inner"/>
                <w:rFonts w:ascii="Open Sans" w:eastAsia="Open Sans" w:hAnsi="Open Sans" w:cs="Open Sans"/>
                <w:b/>
                <w:bCs/>
                <w:caps/>
                <w:color w:val="050505"/>
                <w:sz w:val="20"/>
                <w:szCs w:val="20"/>
                <w:bdr w:val="none" w:sz="0" w:space="0" w:color="auto"/>
                <w:vertAlign w:val="baseline"/>
              </w:rPr>
            </w:pPr>
            <w:r>
              <w:rPr>
                <w:rStyle w:val="skn-slo6tbl-inner"/>
                <w:rFonts w:ascii="Open Sans" w:eastAsia="Open Sans" w:hAnsi="Open Sans" w:cs="Open Sans"/>
                <w:b/>
                <w:bCs/>
                <w:caps/>
                <w:color w:val="050505"/>
                <w:sz w:val="20"/>
                <w:szCs w:val="20"/>
                <w:bdr w:val="none" w:sz="0" w:space="0" w:color="auto"/>
                <w:vertAlign w:val="baseline"/>
              </w:rPr>
              <w:t>Senior BI Operations Lead</w:t>
            </w:r>
          </w:p>
          <w:p>
            <w:pPr>
              <w:pStyle w:val="skn-slo6disp-block"/>
              <w:spacing w:before="0" w:after="0"/>
              <w:ind w:left="0" w:right="0"/>
              <w:rPr>
                <w:rStyle w:val="skn-slo6tbl-inner"/>
                <w:rFonts w:ascii="Open Sans" w:eastAsia="Open Sans" w:hAnsi="Open Sans" w:cs="Open Sans"/>
                <w:b w:val="0"/>
                <w:bCs w:val="0"/>
                <w:color w:val="050505"/>
                <w:sz w:val="20"/>
                <w:szCs w:val="20"/>
                <w:bdr w:val="none" w:sz="0" w:space="0" w:color="auto"/>
                <w:vertAlign w:val="baseline"/>
              </w:rPr>
            </w:pPr>
            <w:r>
              <w:rPr>
                <w:rStyle w:val="skn-slo6txt-nrml"/>
                <w:rFonts w:ascii="Open Sans" w:eastAsia="Open Sans" w:hAnsi="Open Sans" w:cs="Open Sans"/>
                <w:b w:val="0"/>
                <w:bCs w:val="0"/>
                <w:color w:val="050505"/>
                <w:sz w:val="20"/>
                <w:szCs w:val="20"/>
              </w:rPr>
              <w:t>WNS Global Services</w:t>
            </w:r>
          </w:p>
        </w:tc>
        <w:tc>
          <w:tcPr>
            <w:tcW w:w="5260" w:type="dxa"/>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ind w:left="0" w:right="0"/>
              <w:jc w:val="right"/>
              <w:textAlignment w:val="auto"/>
              <w:rPr>
                <w:rStyle w:val="span"/>
                <w:rFonts w:ascii="Open Sans" w:eastAsia="Open Sans" w:hAnsi="Open Sans" w:cs="Open Sans"/>
                <w:b/>
                <w:bCs/>
                <w:color w:val="050505"/>
                <w:sz w:val="20"/>
                <w:szCs w:val="20"/>
              </w:rPr>
            </w:pPr>
            <w:r>
              <w:rPr>
                <w:rStyle w:val="span"/>
                <w:rFonts w:ascii="Open Sans" w:eastAsia="Open Sans" w:hAnsi="Open Sans" w:cs="Open Sans"/>
                <w:b/>
                <w:bCs/>
                <w:color w:val="050505"/>
                <w:sz w:val="20"/>
                <w:szCs w:val="20"/>
              </w:rPr>
              <w:t>Mumbai</w:t>
            </w:r>
            <w:r>
              <w:rPr>
                <w:rStyle w:val="span"/>
                <w:rFonts w:ascii="Open Sans" w:eastAsia="Open Sans" w:hAnsi="Open Sans" w:cs="Open Sans"/>
                <w:b/>
                <w:bCs/>
                <w:color w:val="050505"/>
                <w:sz w:val="20"/>
                <w:szCs w:val="20"/>
              </w:rPr>
              <w:t xml:space="preserve">, </w:t>
            </w:r>
            <w:r>
              <w:rPr>
                <w:rStyle w:val="skn-slo6txt-capsCharacter"/>
                <w:rFonts w:ascii="Open Sans" w:eastAsia="Open Sans" w:hAnsi="Open Sans" w:cs="Open Sans"/>
                <w:b/>
                <w:bCs/>
                <w:caps/>
                <w:color w:val="050505"/>
                <w:sz w:val="20"/>
                <w:szCs w:val="20"/>
              </w:rPr>
              <w:t>Maharashtra</w:t>
            </w:r>
            <w:r>
              <w:rPr>
                <w:rStyle w:val="skn-slo6tbl-innertbl-inner"/>
                <w:rFonts w:ascii="Open Sans" w:eastAsia="Open Sans" w:hAnsi="Open Sans" w:cs="Open Sans"/>
                <w:b/>
                <w:bCs/>
                <w:color w:val="050505"/>
                <w:sz w:val="20"/>
                <w:szCs w:val="20"/>
                <w:bdr w:val="none" w:sz="0" w:space="0" w:color="auto"/>
                <w:vertAlign w:val="baseline"/>
              </w:rPr>
              <w:t xml:space="preserve"> </w:t>
            </w:r>
          </w:p>
          <w:p>
            <w:pPr>
              <w:pStyle w:val="skn-slo6jobyear"/>
              <w:spacing w:before="0" w:after="0"/>
              <w:ind w:left="0" w:right="0"/>
              <w:jc w:val="right"/>
              <w:rPr>
                <w:rStyle w:val="skn-slo6tbl-innertbl-inner"/>
                <w:rFonts w:ascii="Open Sans" w:eastAsia="Open Sans" w:hAnsi="Open Sans" w:cs="Open Sans"/>
                <w:b w:val="0"/>
                <w:bCs w:val="0"/>
                <w:i/>
                <w:iCs/>
                <w:color w:val="050505"/>
                <w:sz w:val="20"/>
                <w:szCs w:val="20"/>
                <w:bdr w:val="none" w:sz="0" w:space="0" w:color="auto"/>
                <w:vertAlign w:val="baseline"/>
              </w:rPr>
            </w:pPr>
            <w:r>
              <w:rPr>
                <w:rStyle w:val="span"/>
                <w:rFonts w:ascii="Open Sans" w:eastAsia="Open Sans" w:hAnsi="Open Sans" w:cs="Open Sans"/>
                <w:b w:val="0"/>
                <w:bCs w:val="0"/>
                <w:i/>
                <w:iCs/>
                <w:color w:val="050505"/>
                <w:sz w:val="20"/>
                <w:szCs w:val="20"/>
              </w:rPr>
              <w:t>January 2018</w:t>
            </w:r>
            <w:r>
              <w:rPr>
                <w:rStyle w:val="span"/>
                <w:rFonts w:ascii="Open Sans" w:eastAsia="Open Sans" w:hAnsi="Open Sans" w:cs="Open Sans"/>
                <w:b w:val="0"/>
                <w:bCs w:val="0"/>
                <w:i/>
                <w:iCs/>
                <w:color w:val="050505"/>
                <w:sz w:val="20"/>
                <w:szCs w:val="20"/>
              </w:rPr>
              <w:t xml:space="preserve"> - </w:t>
            </w:r>
            <w:r>
              <w:rPr>
                <w:rStyle w:val="span"/>
                <w:rFonts w:ascii="Open Sans" w:eastAsia="Open Sans" w:hAnsi="Open Sans" w:cs="Open Sans"/>
                <w:b w:val="0"/>
                <w:bCs w:val="0"/>
                <w:i/>
                <w:iCs/>
                <w:color w:val="050505"/>
                <w:sz w:val="20"/>
                <w:szCs w:val="20"/>
              </w:rPr>
              <w:t>April 2021</w:t>
            </w:r>
          </w:p>
        </w:tc>
      </w:tr>
    </w:tbl>
    <w:p>
      <w:pPr>
        <w:pStyle w:val="ulli"/>
        <w:numPr>
          <w:ilvl w:val="0"/>
          <w:numId w:val="12"/>
        </w:numPr>
        <w:spacing w:before="160"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Oversaw reporting operations for multiple clients ensuring consistent availability of dashboards and scheduled reports.</w:t>
      </w:r>
    </w:p>
    <w:p>
      <w:pPr>
        <w:pStyle w:val="ulli"/>
        <w:numPr>
          <w:ilvl w:val="0"/>
          <w:numId w:val="12"/>
        </w:numPr>
        <w:spacing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Defined operational runbooks and escalation procedures for BI platform support teams.</w:t>
      </w:r>
    </w:p>
    <w:p>
      <w:pPr>
        <w:pStyle w:val="ulli"/>
        <w:numPr>
          <w:ilvl w:val="0"/>
          <w:numId w:val="12"/>
        </w:numPr>
        <w:spacing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Tracked SLA metrics and improved incident resolution turnaround through process standardization.</w:t>
      </w:r>
    </w:p>
    <w:p>
      <w:pPr>
        <w:pStyle w:val="ulli"/>
        <w:numPr>
          <w:ilvl w:val="0"/>
          <w:numId w:val="12"/>
        </w:numPr>
        <w:spacing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Worked with developers to validate fixes before deployment into production BI environments.</w:t>
      </w:r>
    </w:p>
    <w:p>
      <w:pPr>
        <w:pStyle w:val="ulli"/>
        <w:numPr>
          <w:ilvl w:val="0"/>
          <w:numId w:val="12"/>
        </w:numPr>
        <w:spacing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Supported month-end and quarter-end reporting cycles requiring high data accuracy and stability.</w:t>
      </w:r>
    </w:p>
    <w:p>
      <w:pPr>
        <w:pStyle w:val="ulli"/>
        <w:numPr>
          <w:ilvl w:val="0"/>
          <w:numId w:val="12"/>
        </w:numPr>
        <w:spacing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Maintained documentation for BI processes, access requests, and operational controls.</w:t>
      </w:r>
    </w:p>
    <w:p>
      <w:pPr>
        <w:pStyle w:val="ullinth-last-child1"/>
        <w:numPr>
          <w:ilvl w:val="0"/>
          <w:numId w:val="12"/>
        </w:numPr>
        <w:pBdr>
          <w:left w:val="none" w:sz="0" w:space="8" w:color="auto"/>
        </w:pBdr>
        <w:spacing w:after="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Provided regular status updates to client stakeholders regarding platform performance and risks.</w:t>
      </w:r>
    </w:p>
    <w:p>
      <w:pPr>
        <w:pStyle w:val="div"/>
        <w:pBdr>
          <w:top w:val="none" w:sz="0" w:space="0" w:color="auto"/>
          <w:left w:val="none" w:sz="0" w:space="0" w:color="auto"/>
          <w:bottom w:val="none" w:sz="0" w:space="0" w:color="auto"/>
          <w:right w:val="none" w:sz="0" w:space="0" w:color="auto"/>
        </w:pBdr>
        <w:spacing w:before="0" w:after="0" w:line="320" w:lineRule="exact"/>
        <w:ind w:left="0" w:right="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 </w:t>
      </w:r>
    </w:p>
    <w:tbl>
      <w:tblPr>
        <w:tblStyle w:val="skn-slo6disp-blockTable"/>
        <w:tblW w:w="0" w:type="auto"/>
        <w:tblCellSpacing w:w="0" w:type="dxa"/>
        <w:tblLayout w:type="fixed"/>
        <w:tblCellMar>
          <w:top w:w="0" w:type="dxa"/>
          <w:left w:w="0" w:type="dxa"/>
          <w:bottom w:w="0" w:type="dxa"/>
          <w:right w:w="0" w:type="dxa"/>
        </w:tblCellMar>
        <w:tblLook w:val="05E0"/>
      </w:tblPr>
      <w:tblGrid>
        <w:gridCol w:w="5260"/>
        <w:gridCol w:w="52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5260" w:type="dxa"/>
            <w:tcMar>
              <w:top w:w="0" w:type="dxa"/>
              <w:left w:w="0" w:type="dxa"/>
              <w:bottom w:w="0" w:type="dxa"/>
              <w:right w:w="0" w:type="dxa"/>
            </w:tcMar>
            <w:vAlign w:val="top"/>
            <w:hideMark/>
          </w:tcPr>
          <w:p>
            <w:pPr>
              <w:pStyle w:val="skn-slo6txt-caps"/>
              <w:pBdr>
                <w:bottom w:val="none" w:sz="0" w:space="2" w:color="auto"/>
              </w:pBdr>
              <w:spacing w:before="0" w:after="0"/>
              <w:ind w:left="0" w:right="0"/>
              <w:rPr>
                <w:rStyle w:val="skn-slo6tbl-inner"/>
                <w:rFonts w:ascii="Open Sans" w:eastAsia="Open Sans" w:hAnsi="Open Sans" w:cs="Open Sans"/>
                <w:b/>
                <w:bCs/>
                <w:caps/>
                <w:color w:val="050505"/>
                <w:sz w:val="20"/>
                <w:szCs w:val="20"/>
                <w:bdr w:val="none" w:sz="0" w:space="0" w:color="auto"/>
                <w:vertAlign w:val="baseline"/>
              </w:rPr>
            </w:pPr>
            <w:r>
              <w:rPr>
                <w:rStyle w:val="skn-slo6tbl-inner"/>
                <w:rFonts w:ascii="Open Sans" w:eastAsia="Open Sans" w:hAnsi="Open Sans" w:cs="Open Sans"/>
                <w:b/>
                <w:bCs/>
                <w:caps/>
                <w:color w:val="050505"/>
                <w:sz w:val="20"/>
                <w:szCs w:val="20"/>
                <w:bdr w:val="none" w:sz="0" w:space="0" w:color="auto"/>
                <w:vertAlign w:val="baseline"/>
              </w:rPr>
              <w:t>Business Intelligence Analyst</w:t>
            </w:r>
          </w:p>
          <w:p>
            <w:pPr>
              <w:pStyle w:val="skn-slo6disp-block"/>
              <w:spacing w:before="0" w:after="0"/>
              <w:ind w:left="0" w:right="0"/>
              <w:rPr>
                <w:rStyle w:val="skn-slo6tbl-inner"/>
                <w:rFonts w:ascii="Open Sans" w:eastAsia="Open Sans" w:hAnsi="Open Sans" w:cs="Open Sans"/>
                <w:b w:val="0"/>
                <w:bCs w:val="0"/>
                <w:color w:val="050505"/>
                <w:sz w:val="20"/>
                <w:szCs w:val="20"/>
                <w:bdr w:val="none" w:sz="0" w:space="0" w:color="auto"/>
                <w:vertAlign w:val="baseline"/>
              </w:rPr>
            </w:pPr>
            <w:r>
              <w:rPr>
                <w:rStyle w:val="skn-slo6txt-nrml"/>
                <w:rFonts w:ascii="Open Sans" w:eastAsia="Open Sans" w:hAnsi="Open Sans" w:cs="Open Sans"/>
                <w:b w:val="0"/>
                <w:bCs w:val="0"/>
                <w:color w:val="050505"/>
                <w:sz w:val="20"/>
                <w:szCs w:val="20"/>
              </w:rPr>
              <w:t>Tata Consultancy Services</w:t>
            </w:r>
          </w:p>
        </w:tc>
        <w:tc>
          <w:tcPr>
            <w:tcW w:w="5260" w:type="dxa"/>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ind w:left="0" w:right="0"/>
              <w:jc w:val="right"/>
              <w:textAlignment w:val="auto"/>
              <w:rPr>
                <w:rStyle w:val="span"/>
                <w:rFonts w:ascii="Open Sans" w:eastAsia="Open Sans" w:hAnsi="Open Sans" w:cs="Open Sans"/>
                <w:b/>
                <w:bCs/>
                <w:color w:val="050505"/>
                <w:sz w:val="20"/>
                <w:szCs w:val="20"/>
              </w:rPr>
            </w:pPr>
            <w:r>
              <w:rPr>
                <w:rStyle w:val="span"/>
                <w:rFonts w:ascii="Open Sans" w:eastAsia="Open Sans" w:hAnsi="Open Sans" w:cs="Open Sans"/>
                <w:b/>
                <w:bCs/>
                <w:color w:val="050505"/>
                <w:sz w:val="20"/>
                <w:szCs w:val="20"/>
              </w:rPr>
              <w:t>Noida</w:t>
            </w:r>
            <w:r>
              <w:rPr>
                <w:rStyle w:val="span"/>
                <w:rFonts w:ascii="Open Sans" w:eastAsia="Open Sans" w:hAnsi="Open Sans" w:cs="Open Sans"/>
                <w:b/>
                <w:bCs/>
                <w:color w:val="050505"/>
                <w:sz w:val="20"/>
                <w:szCs w:val="20"/>
              </w:rPr>
              <w:t xml:space="preserve">, </w:t>
            </w:r>
            <w:r>
              <w:rPr>
                <w:rStyle w:val="skn-slo6txt-capsCharacter"/>
                <w:rFonts w:ascii="Open Sans" w:eastAsia="Open Sans" w:hAnsi="Open Sans" w:cs="Open Sans"/>
                <w:b/>
                <w:bCs/>
                <w:caps/>
                <w:color w:val="050505"/>
                <w:sz w:val="20"/>
                <w:szCs w:val="20"/>
              </w:rPr>
              <w:t>Uttar Pradesh</w:t>
            </w:r>
            <w:r>
              <w:rPr>
                <w:rStyle w:val="skn-slo6tbl-innertbl-inner"/>
                <w:rFonts w:ascii="Open Sans" w:eastAsia="Open Sans" w:hAnsi="Open Sans" w:cs="Open Sans"/>
                <w:b/>
                <w:bCs/>
                <w:color w:val="050505"/>
                <w:sz w:val="20"/>
                <w:szCs w:val="20"/>
                <w:bdr w:val="none" w:sz="0" w:space="0" w:color="auto"/>
                <w:vertAlign w:val="baseline"/>
              </w:rPr>
              <w:t xml:space="preserve"> </w:t>
            </w:r>
          </w:p>
          <w:p>
            <w:pPr>
              <w:pStyle w:val="skn-slo6jobyear"/>
              <w:spacing w:before="0" w:after="0"/>
              <w:ind w:left="0" w:right="0"/>
              <w:jc w:val="right"/>
              <w:rPr>
                <w:rStyle w:val="skn-slo6tbl-innertbl-inner"/>
                <w:rFonts w:ascii="Open Sans" w:eastAsia="Open Sans" w:hAnsi="Open Sans" w:cs="Open Sans"/>
                <w:b w:val="0"/>
                <w:bCs w:val="0"/>
                <w:i/>
                <w:iCs/>
                <w:color w:val="050505"/>
                <w:sz w:val="20"/>
                <w:szCs w:val="20"/>
                <w:bdr w:val="none" w:sz="0" w:space="0" w:color="auto"/>
                <w:vertAlign w:val="baseline"/>
              </w:rPr>
            </w:pPr>
            <w:r>
              <w:rPr>
                <w:rStyle w:val="span"/>
                <w:rFonts w:ascii="Open Sans" w:eastAsia="Open Sans" w:hAnsi="Open Sans" w:cs="Open Sans"/>
                <w:b w:val="0"/>
                <w:bCs w:val="0"/>
                <w:i/>
                <w:iCs/>
                <w:color w:val="050505"/>
                <w:sz w:val="20"/>
                <w:szCs w:val="20"/>
              </w:rPr>
              <w:t>July 2015</w:t>
            </w:r>
            <w:r>
              <w:rPr>
                <w:rStyle w:val="span"/>
                <w:rFonts w:ascii="Open Sans" w:eastAsia="Open Sans" w:hAnsi="Open Sans" w:cs="Open Sans"/>
                <w:b w:val="0"/>
                <w:bCs w:val="0"/>
                <w:i/>
                <w:iCs/>
                <w:color w:val="050505"/>
                <w:sz w:val="20"/>
                <w:szCs w:val="20"/>
              </w:rPr>
              <w:t xml:space="preserve"> - </w:t>
            </w:r>
            <w:r>
              <w:rPr>
                <w:rStyle w:val="span"/>
                <w:rFonts w:ascii="Open Sans" w:eastAsia="Open Sans" w:hAnsi="Open Sans" w:cs="Open Sans"/>
                <w:b w:val="0"/>
                <w:bCs w:val="0"/>
                <w:i/>
                <w:iCs/>
                <w:color w:val="050505"/>
                <w:sz w:val="20"/>
                <w:szCs w:val="20"/>
              </w:rPr>
              <w:t>December 2017</w:t>
            </w:r>
          </w:p>
        </w:tc>
      </w:tr>
    </w:tbl>
    <w:p>
      <w:pPr>
        <w:pStyle w:val="ulli"/>
        <w:numPr>
          <w:ilvl w:val="0"/>
          <w:numId w:val="13"/>
        </w:numPr>
        <w:spacing w:before="160"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Supported daily operations of BI reports by validating data refreshes and resolving minor data issues.</w:t>
      </w:r>
    </w:p>
    <w:p>
      <w:pPr>
        <w:pStyle w:val="ulli"/>
        <w:numPr>
          <w:ilvl w:val="0"/>
          <w:numId w:val="13"/>
        </w:numPr>
        <w:spacing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Assisted in monitoring ETL job executions and escalating failures to engineering teams.</w:t>
      </w:r>
    </w:p>
    <w:p>
      <w:pPr>
        <w:pStyle w:val="ulli"/>
        <w:numPr>
          <w:ilvl w:val="0"/>
          <w:numId w:val="13"/>
        </w:numPr>
        <w:spacing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Performed SQL-based checks to confirm accuracy of operational and management reports.</w:t>
      </w:r>
    </w:p>
    <w:p>
      <w:pPr>
        <w:pStyle w:val="ulli"/>
        <w:numPr>
          <w:ilvl w:val="0"/>
          <w:numId w:val="13"/>
        </w:numPr>
        <w:spacing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Responded to user queries related to report access, data availability, and usage guidance.</w:t>
      </w:r>
    </w:p>
    <w:p>
      <w:pPr>
        <w:pStyle w:val="ulli"/>
        <w:numPr>
          <w:ilvl w:val="0"/>
          <w:numId w:val="13"/>
        </w:numPr>
        <w:spacing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Helped maintain report schedules and ensured timely delivery to business users.</w:t>
      </w:r>
    </w:p>
    <w:p>
      <w:pPr>
        <w:pStyle w:val="ulli"/>
        <w:numPr>
          <w:ilvl w:val="0"/>
          <w:numId w:val="13"/>
        </w:numPr>
        <w:spacing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Documented known issues, fixes, and reporting dependencies for operational continuity.</w:t>
      </w:r>
    </w:p>
    <w:p>
      <w:pPr>
        <w:pStyle w:val="ullinth-last-child1"/>
        <w:numPr>
          <w:ilvl w:val="0"/>
          <w:numId w:val="13"/>
        </w:numPr>
        <w:pBdr>
          <w:left w:val="none" w:sz="0" w:space="8" w:color="auto"/>
        </w:pBdr>
        <w:spacing w:after="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Gained strong exposure to BI support processes and analytics operations workflows.</w:t>
      </w:r>
    </w:p>
    <w:p>
      <w:pPr>
        <w:pStyle w:val="skn-slo6sectiontitle"/>
        <w:pBdr>
          <w:top w:val="none" w:sz="0" w:space="0" w:color="auto"/>
          <w:left w:val="none" w:sz="0" w:space="0" w:color="auto"/>
          <w:bottom w:val="single" w:sz="8" w:space="0" w:color="469FBE"/>
          <w:right w:val="none" w:sz="0" w:space="0" w:color="auto"/>
        </w:pBdr>
        <w:spacing w:before="500" w:after="0"/>
        <w:ind w:left="0" w:right="0"/>
        <w:rPr>
          <w:rFonts w:ascii="Open Sans" w:eastAsia="Open Sans" w:hAnsi="Open Sans" w:cs="Open Sans"/>
          <w:b/>
          <w:bCs/>
          <w:caps/>
          <w:color w:val="469FBE"/>
          <w:bdr w:val="none" w:sz="0" w:space="0" w:color="auto"/>
          <w:vertAlign w:val="baseline"/>
        </w:rPr>
      </w:pPr>
      <w:r>
        <w:rPr>
          <w:rFonts w:ascii="Open Sans" w:eastAsia="Open Sans" w:hAnsi="Open Sans" w:cs="Open Sans"/>
          <w:bdr w:val="none" w:sz="0" w:space="0" w:color="auto"/>
          <w:vertAlign w:val="baseline"/>
        </w:rPr>
        <w:t>Education</w:t>
      </w:r>
    </w:p>
    <w:p>
      <w:pPr>
        <w:pStyle w:val="div"/>
        <w:pBdr>
          <w:top w:val="none" w:sz="0" w:space="0" w:color="auto"/>
          <w:left w:val="none" w:sz="0" w:space="0" w:color="auto"/>
          <w:bottom w:val="single" w:sz="8" w:space="0" w:color="469FBE"/>
          <w:right w:val="none" w:sz="0" w:space="0" w:color="auto"/>
        </w:pBdr>
        <w:spacing w:before="0" w:after="0" w:line="140" w:lineRule="exact"/>
        <w:ind w:left="0" w:right="0"/>
        <w:rPr>
          <w:rFonts w:ascii="Open Sans" w:eastAsia="Open Sans" w:hAnsi="Open Sans" w:cs="Open Sans"/>
          <w:b w:val="0"/>
          <w:bCs w:val="0"/>
          <w:color w:val="050505"/>
          <w:sz w:val="20"/>
          <w:szCs w:val="20"/>
          <w:bdr w:val="none" w:sz="0" w:space="0" w:color="auto"/>
          <w:vertAlign w:val="baseline"/>
        </w:rPr>
      </w:pPr>
    </w:p>
    <w:p>
      <w:pPr>
        <w:pStyle w:val="div"/>
        <w:pBdr>
          <w:top w:val="none" w:sz="0" w:space="0" w:color="auto"/>
          <w:left w:val="none" w:sz="0" w:space="0" w:color="auto"/>
          <w:bottom w:val="none" w:sz="0" w:space="0" w:color="auto"/>
          <w:right w:val="none" w:sz="0" w:space="0" w:color="auto"/>
        </w:pBdr>
        <w:spacing w:before="0" w:after="0" w:line="200" w:lineRule="exact"/>
        <w:ind w:left="0" w:right="0"/>
        <w:rPr>
          <w:rFonts w:ascii="Open Sans" w:eastAsia="Open Sans" w:hAnsi="Open Sans" w:cs="Open Sans"/>
          <w:b w:val="0"/>
          <w:bCs w:val="0"/>
          <w:color w:val="050505"/>
          <w:sz w:val="20"/>
          <w:szCs w:val="20"/>
          <w:bdr w:val="none" w:sz="0" w:space="0" w:color="auto"/>
          <w:vertAlign w:val="baseline"/>
        </w:rPr>
      </w:pPr>
    </w:p>
    <w:p>
      <w:pPr>
        <w:pStyle w:val="firstparagraphparaSpacing"/>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vanish/>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 </w:t>
      </w:r>
    </w:p>
    <w:tbl>
      <w:tblPr>
        <w:tblStyle w:val="skn-slo6disp-blockTable"/>
        <w:tblW w:w="0" w:type="auto"/>
        <w:tblCellSpacing w:w="0" w:type="dxa"/>
        <w:tblLayout w:type="fixed"/>
        <w:tblCellMar>
          <w:top w:w="0" w:type="dxa"/>
          <w:left w:w="0" w:type="dxa"/>
          <w:bottom w:w="0" w:type="dxa"/>
          <w:right w:w="0" w:type="dxa"/>
        </w:tblCellMar>
        <w:tblLook w:val="05E0"/>
      </w:tblPr>
      <w:tblGrid>
        <w:gridCol w:w="7520"/>
        <w:gridCol w:w="300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7520" w:type="dxa"/>
            <w:tcMar>
              <w:top w:w="0" w:type="dxa"/>
              <w:left w:w="0" w:type="dxa"/>
              <w:bottom w:w="0" w:type="dxa"/>
              <w:right w:w="0" w:type="dxa"/>
            </w:tcMar>
            <w:vAlign w:val="top"/>
            <w:hideMark/>
          </w:tcPr>
          <w:p>
            <w:pPr>
              <w:pStyle w:val="div"/>
              <w:pBdr>
                <w:top w:val="none" w:sz="0" w:space="0" w:color="auto"/>
                <w:left w:val="none" w:sz="0" w:space="0" w:color="auto"/>
                <w:bottom w:val="none" w:sz="0" w:space="0" w:color="auto"/>
                <w:right w:val="none" w:sz="0" w:space="0" w:color="auto"/>
              </w:pBdr>
              <w:spacing w:before="0" w:after="0"/>
              <w:ind w:left="0" w:right="0"/>
              <w:rPr>
                <w:rStyle w:val="skn-slo6tbl-inner"/>
                <w:rFonts w:ascii="Open Sans" w:eastAsia="Open Sans" w:hAnsi="Open Sans" w:cs="Open Sans"/>
                <w:b w:val="0"/>
                <w:bCs w:val="0"/>
                <w:color w:val="050505"/>
                <w:sz w:val="20"/>
                <w:szCs w:val="20"/>
                <w:bdr w:val="none" w:sz="0" w:space="0" w:color="auto"/>
                <w:vertAlign w:val="baseline"/>
              </w:rPr>
            </w:pPr>
            <w:r>
              <w:rPr>
                <w:rStyle w:val="skn-slo6txt-capsCharacter"/>
                <w:rFonts w:ascii="Open Sans" w:eastAsia="Open Sans" w:hAnsi="Open Sans" w:cs="Open Sans"/>
                <w:b/>
                <w:bCs/>
                <w:caps/>
                <w:color w:val="050505"/>
                <w:sz w:val="20"/>
                <w:szCs w:val="20"/>
              </w:rPr>
              <w:t>10th Standard</w:t>
            </w:r>
          </w:p>
          <w:p>
            <w:pPr>
              <w:pStyle w:val="skn-slo6disp-block"/>
              <w:spacing w:before="40" w:after="0"/>
              <w:ind w:left="0" w:right="0"/>
              <w:rPr>
                <w:rStyle w:val="skn-slo6tbl-inner"/>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rPr>
              <w:t>DAV Public School</w:t>
            </w:r>
            <w:r>
              <w:rPr>
                <w:rStyle w:val="span"/>
                <w:rFonts w:ascii="Open Sans" w:eastAsia="Open Sans" w:hAnsi="Open Sans" w:cs="Open Sans"/>
                <w:b w:val="0"/>
                <w:bCs w:val="0"/>
                <w:color w:val="050505"/>
                <w:sz w:val="20"/>
                <w:szCs w:val="20"/>
              </w:rPr>
              <w:t xml:space="preserve">, </w:t>
            </w:r>
            <w:r>
              <w:rPr>
                <w:rStyle w:val="skn-slo6txt-capsCharacter"/>
                <w:rFonts w:ascii="Open Sans" w:eastAsia="Open Sans" w:hAnsi="Open Sans" w:cs="Open Sans"/>
                <w:b/>
                <w:bCs/>
                <w:caps/>
                <w:color w:val="050505"/>
                <w:sz w:val="20"/>
                <w:szCs w:val="20"/>
              </w:rPr>
              <w:t>Haryana</w:t>
            </w:r>
          </w:p>
        </w:tc>
        <w:tc>
          <w:tcPr>
            <w:tcW w:w="3000" w:type="dxa"/>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ind w:left="0" w:right="0"/>
              <w:jc w:val="right"/>
              <w:textAlignment w:val="auto"/>
              <w:rPr>
                <w:rStyle w:val="skn-slo6txt-itlCharacter"/>
                <w:rFonts w:ascii="Open Sans" w:eastAsia="Open Sans" w:hAnsi="Open Sans" w:cs="Open Sans"/>
                <w:b w:val="0"/>
                <w:bCs w:val="0"/>
                <w:i/>
                <w:iCs/>
                <w:color w:val="050505"/>
                <w:sz w:val="20"/>
                <w:szCs w:val="20"/>
              </w:rPr>
            </w:pPr>
            <w:r>
              <w:rPr>
                <w:rStyle w:val="skn-slo6txt-itlCharacter"/>
                <w:rFonts w:ascii="Open Sans" w:eastAsia="Open Sans" w:hAnsi="Open Sans" w:cs="Open Sans"/>
                <w:b w:val="0"/>
                <w:bCs w:val="0"/>
                <w:i/>
                <w:iCs/>
                <w:color w:val="050505"/>
                <w:sz w:val="20"/>
                <w:szCs w:val="20"/>
              </w:rPr>
              <w:t>Mar 2003</w:t>
            </w:r>
            <w:r>
              <w:rPr>
                <w:rStyle w:val="span"/>
                <w:rFonts w:ascii="Open Sans" w:eastAsia="Open Sans" w:hAnsi="Open Sans" w:cs="Open Sans"/>
                <w:b w:val="0"/>
                <w:bCs w:val="0"/>
                <w:color w:val="050505"/>
                <w:sz w:val="20"/>
                <w:szCs w:val="20"/>
              </w:rPr>
              <w:t xml:space="preserve"> </w:t>
            </w:r>
          </w:p>
        </w:tc>
      </w:tr>
    </w:tbl>
    <w:p>
      <w:pPr>
        <w:pStyle w:val="div"/>
        <w:pBdr>
          <w:top w:val="none" w:sz="0" w:space="0" w:color="auto"/>
          <w:left w:val="none" w:sz="0" w:space="0" w:color="auto"/>
          <w:bottom w:val="none" w:sz="0" w:space="0" w:color="auto"/>
          <w:right w:val="none" w:sz="0" w:space="0" w:color="auto"/>
        </w:pBdr>
        <w:spacing w:before="0" w:after="0" w:line="320" w:lineRule="exact"/>
        <w:ind w:left="0" w:right="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 </w:t>
      </w:r>
    </w:p>
    <w:tbl>
      <w:tblPr>
        <w:tblStyle w:val="skn-slo6disp-blockTable"/>
        <w:tblW w:w="0" w:type="auto"/>
        <w:tblCellSpacing w:w="0" w:type="dxa"/>
        <w:tblLayout w:type="fixed"/>
        <w:tblCellMar>
          <w:top w:w="0" w:type="dxa"/>
          <w:left w:w="0" w:type="dxa"/>
          <w:bottom w:w="0" w:type="dxa"/>
          <w:right w:w="0" w:type="dxa"/>
        </w:tblCellMar>
        <w:tblLook w:val="05E0"/>
      </w:tblPr>
      <w:tblGrid>
        <w:gridCol w:w="7520"/>
        <w:gridCol w:w="300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7520" w:type="dxa"/>
            <w:tcMar>
              <w:top w:w="0" w:type="dxa"/>
              <w:left w:w="0" w:type="dxa"/>
              <w:bottom w:w="0" w:type="dxa"/>
              <w:right w:w="0" w:type="dxa"/>
            </w:tcMar>
            <w:vAlign w:val="top"/>
            <w:hideMark/>
          </w:tcPr>
          <w:p>
            <w:pPr>
              <w:pStyle w:val="div"/>
              <w:pBdr>
                <w:top w:val="none" w:sz="0" w:space="0" w:color="auto"/>
                <w:left w:val="none" w:sz="0" w:space="0" w:color="auto"/>
                <w:bottom w:val="none" w:sz="0" w:space="0" w:color="auto"/>
                <w:right w:val="none" w:sz="0" w:space="0" w:color="auto"/>
              </w:pBdr>
              <w:spacing w:before="0" w:after="0"/>
              <w:ind w:left="0" w:right="0"/>
              <w:rPr>
                <w:rStyle w:val="skn-slo6tbl-inner"/>
                <w:rFonts w:ascii="Open Sans" w:eastAsia="Open Sans" w:hAnsi="Open Sans" w:cs="Open Sans"/>
                <w:b w:val="0"/>
                <w:bCs w:val="0"/>
                <w:color w:val="050505"/>
                <w:sz w:val="20"/>
                <w:szCs w:val="20"/>
                <w:bdr w:val="none" w:sz="0" w:space="0" w:color="auto"/>
                <w:vertAlign w:val="baseline"/>
              </w:rPr>
            </w:pPr>
            <w:r>
              <w:rPr>
                <w:rStyle w:val="skn-slo6txt-capsCharacter"/>
                <w:rFonts w:ascii="Open Sans" w:eastAsia="Open Sans" w:hAnsi="Open Sans" w:cs="Open Sans"/>
                <w:b/>
                <w:bCs/>
                <w:caps/>
                <w:color w:val="050505"/>
                <w:sz w:val="20"/>
                <w:szCs w:val="20"/>
              </w:rPr>
              <w:t>12th Standard</w:t>
            </w:r>
          </w:p>
          <w:p>
            <w:pPr>
              <w:pStyle w:val="skn-slo6disp-block"/>
              <w:spacing w:before="40" w:after="0"/>
              <w:ind w:left="0" w:right="0"/>
              <w:rPr>
                <w:rStyle w:val="skn-slo6tbl-inner"/>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rPr>
              <w:t>DAV Public School</w:t>
            </w:r>
            <w:r>
              <w:rPr>
                <w:rStyle w:val="span"/>
                <w:rFonts w:ascii="Open Sans" w:eastAsia="Open Sans" w:hAnsi="Open Sans" w:cs="Open Sans"/>
                <w:b w:val="0"/>
                <w:bCs w:val="0"/>
                <w:color w:val="050505"/>
                <w:sz w:val="20"/>
                <w:szCs w:val="20"/>
              </w:rPr>
              <w:t xml:space="preserve">, </w:t>
            </w:r>
            <w:r>
              <w:rPr>
                <w:rStyle w:val="skn-slo6txt-capsCharacter"/>
                <w:rFonts w:ascii="Open Sans" w:eastAsia="Open Sans" w:hAnsi="Open Sans" w:cs="Open Sans"/>
                <w:b/>
                <w:bCs/>
                <w:caps/>
                <w:color w:val="050505"/>
                <w:sz w:val="20"/>
                <w:szCs w:val="20"/>
              </w:rPr>
              <w:t>Haryana</w:t>
            </w:r>
          </w:p>
        </w:tc>
        <w:tc>
          <w:tcPr>
            <w:tcW w:w="3000" w:type="dxa"/>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ind w:left="0" w:right="0"/>
              <w:jc w:val="right"/>
              <w:textAlignment w:val="auto"/>
              <w:rPr>
                <w:rStyle w:val="skn-slo6txt-itlCharacter"/>
                <w:rFonts w:ascii="Open Sans" w:eastAsia="Open Sans" w:hAnsi="Open Sans" w:cs="Open Sans"/>
                <w:b w:val="0"/>
                <w:bCs w:val="0"/>
                <w:i/>
                <w:iCs/>
                <w:color w:val="050505"/>
                <w:sz w:val="20"/>
                <w:szCs w:val="20"/>
              </w:rPr>
            </w:pPr>
            <w:r>
              <w:rPr>
                <w:rStyle w:val="skn-slo6txt-itlCharacter"/>
                <w:rFonts w:ascii="Open Sans" w:eastAsia="Open Sans" w:hAnsi="Open Sans" w:cs="Open Sans"/>
                <w:b w:val="0"/>
                <w:bCs w:val="0"/>
                <w:i/>
                <w:iCs/>
                <w:color w:val="050505"/>
                <w:sz w:val="20"/>
                <w:szCs w:val="20"/>
              </w:rPr>
              <w:t>Mar 2005</w:t>
            </w:r>
            <w:r>
              <w:rPr>
                <w:rStyle w:val="span"/>
                <w:rFonts w:ascii="Open Sans" w:eastAsia="Open Sans" w:hAnsi="Open Sans" w:cs="Open Sans"/>
                <w:b w:val="0"/>
                <w:bCs w:val="0"/>
                <w:color w:val="050505"/>
                <w:sz w:val="20"/>
                <w:szCs w:val="20"/>
              </w:rPr>
              <w:t xml:space="preserve"> </w:t>
            </w:r>
          </w:p>
        </w:tc>
      </w:tr>
    </w:tbl>
    <w:p>
      <w:pPr>
        <w:pStyle w:val="div"/>
        <w:pBdr>
          <w:top w:val="none" w:sz="0" w:space="0" w:color="auto"/>
          <w:left w:val="none" w:sz="0" w:space="0" w:color="auto"/>
          <w:bottom w:val="none" w:sz="0" w:space="0" w:color="auto"/>
          <w:right w:val="none" w:sz="0" w:space="0" w:color="auto"/>
        </w:pBdr>
        <w:spacing w:before="0" w:after="0" w:line="320" w:lineRule="exact"/>
        <w:ind w:left="0" w:right="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 </w:t>
      </w:r>
    </w:p>
    <w:tbl>
      <w:tblPr>
        <w:tblStyle w:val="skn-slo6disp-blockTable"/>
        <w:tblW w:w="0" w:type="auto"/>
        <w:tblCellSpacing w:w="0" w:type="dxa"/>
        <w:tblLayout w:type="fixed"/>
        <w:tblCellMar>
          <w:top w:w="0" w:type="dxa"/>
          <w:left w:w="0" w:type="dxa"/>
          <w:bottom w:w="0" w:type="dxa"/>
          <w:right w:w="0" w:type="dxa"/>
        </w:tblCellMar>
        <w:tblLook w:val="05E0"/>
      </w:tblPr>
      <w:tblGrid>
        <w:gridCol w:w="7520"/>
        <w:gridCol w:w="300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7520" w:type="dxa"/>
            <w:tcMar>
              <w:top w:w="0" w:type="dxa"/>
              <w:left w:w="0" w:type="dxa"/>
              <w:bottom w:w="0" w:type="dxa"/>
              <w:right w:w="0" w:type="dxa"/>
            </w:tcMar>
            <w:vAlign w:val="top"/>
            <w:hideMark/>
          </w:tcPr>
          <w:p>
            <w:pPr>
              <w:pStyle w:val="div"/>
              <w:pBdr>
                <w:top w:val="none" w:sz="0" w:space="0" w:color="auto"/>
                <w:left w:val="none" w:sz="0" w:space="0" w:color="auto"/>
                <w:bottom w:val="none" w:sz="0" w:space="0" w:color="auto"/>
                <w:right w:val="none" w:sz="0" w:space="0" w:color="auto"/>
              </w:pBdr>
              <w:spacing w:before="0" w:after="0"/>
              <w:ind w:left="0" w:right="0"/>
              <w:rPr>
                <w:rStyle w:val="skn-slo6tbl-inner"/>
                <w:rFonts w:ascii="Open Sans" w:eastAsia="Open Sans" w:hAnsi="Open Sans" w:cs="Open Sans"/>
                <w:b w:val="0"/>
                <w:bCs w:val="0"/>
                <w:color w:val="050505"/>
                <w:sz w:val="20"/>
                <w:szCs w:val="20"/>
                <w:bdr w:val="none" w:sz="0" w:space="0" w:color="auto"/>
                <w:vertAlign w:val="baseline"/>
              </w:rPr>
            </w:pPr>
            <w:r>
              <w:rPr>
                <w:rStyle w:val="skn-slo6txt-capsCharacter"/>
                <w:rFonts w:ascii="Open Sans" w:eastAsia="Open Sans" w:hAnsi="Open Sans" w:cs="Open Sans"/>
                <w:b/>
                <w:bCs/>
                <w:caps/>
                <w:color w:val="050505"/>
                <w:sz w:val="20"/>
                <w:szCs w:val="20"/>
              </w:rPr>
              <w:t>Bachelor of Technology</w:t>
            </w:r>
            <w:r>
              <w:rPr>
                <w:rStyle w:val="skn-slo6txt-capsCharacter"/>
                <w:rFonts w:ascii="Open Sans" w:eastAsia="Open Sans" w:hAnsi="Open Sans" w:cs="Open Sans"/>
                <w:b/>
                <w:bCs/>
                <w:caps/>
                <w:color w:val="050505"/>
                <w:sz w:val="20"/>
                <w:szCs w:val="20"/>
              </w:rPr>
              <w:t xml:space="preserve"> in </w:t>
            </w:r>
            <w:r>
              <w:rPr>
                <w:rStyle w:val="skn-slo6txt-capsCharacter"/>
                <w:rFonts w:ascii="Open Sans" w:eastAsia="Open Sans" w:hAnsi="Open Sans" w:cs="Open Sans"/>
                <w:b/>
                <w:bCs/>
                <w:caps/>
                <w:color w:val="050505"/>
                <w:sz w:val="20"/>
                <w:szCs w:val="20"/>
              </w:rPr>
              <w:t>Computer Science</w:t>
            </w:r>
          </w:p>
          <w:p>
            <w:pPr>
              <w:pStyle w:val="skn-slo6disp-block"/>
              <w:spacing w:before="40" w:after="0"/>
              <w:ind w:left="0" w:right="0"/>
              <w:rPr>
                <w:rStyle w:val="skn-slo6tbl-inner"/>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rPr>
              <w:t>Kurukshetra University</w:t>
            </w:r>
            <w:r>
              <w:rPr>
                <w:rStyle w:val="span"/>
                <w:rFonts w:ascii="Open Sans" w:eastAsia="Open Sans" w:hAnsi="Open Sans" w:cs="Open Sans"/>
                <w:b w:val="0"/>
                <w:bCs w:val="0"/>
                <w:color w:val="050505"/>
                <w:sz w:val="20"/>
                <w:szCs w:val="20"/>
              </w:rPr>
              <w:t xml:space="preserve">, </w:t>
            </w:r>
            <w:r>
              <w:rPr>
                <w:rStyle w:val="skn-slo6txt-capsCharacter"/>
                <w:rFonts w:ascii="Open Sans" w:eastAsia="Open Sans" w:hAnsi="Open Sans" w:cs="Open Sans"/>
                <w:b/>
                <w:bCs/>
                <w:caps/>
                <w:color w:val="050505"/>
                <w:sz w:val="20"/>
                <w:szCs w:val="20"/>
              </w:rPr>
              <w:t>Haryana</w:t>
            </w:r>
          </w:p>
        </w:tc>
        <w:tc>
          <w:tcPr>
            <w:tcW w:w="3000" w:type="dxa"/>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ind w:left="0" w:right="0"/>
              <w:jc w:val="right"/>
              <w:textAlignment w:val="auto"/>
              <w:rPr>
                <w:rStyle w:val="skn-slo6txt-itlCharacter"/>
                <w:rFonts w:ascii="Open Sans" w:eastAsia="Open Sans" w:hAnsi="Open Sans" w:cs="Open Sans"/>
                <w:b w:val="0"/>
                <w:bCs w:val="0"/>
                <w:i/>
                <w:iCs/>
                <w:color w:val="050505"/>
                <w:sz w:val="20"/>
                <w:szCs w:val="20"/>
              </w:rPr>
            </w:pPr>
            <w:r>
              <w:rPr>
                <w:rStyle w:val="skn-slo6txt-itlCharacter"/>
                <w:rFonts w:ascii="Open Sans" w:eastAsia="Open Sans" w:hAnsi="Open Sans" w:cs="Open Sans"/>
                <w:b w:val="0"/>
                <w:bCs w:val="0"/>
                <w:i/>
                <w:iCs/>
                <w:color w:val="050505"/>
                <w:sz w:val="20"/>
                <w:szCs w:val="20"/>
              </w:rPr>
              <w:t>May 2009</w:t>
            </w:r>
            <w:r>
              <w:rPr>
                <w:rStyle w:val="span"/>
                <w:rFonts w:ascii="Open Sans" w:eastAsia="Open Sans" w:hAnsi="Open Sans" w:cs="Open Sans"/>
                <w:b w:val="0"/>
                <w:bCs w:val="0"/>
                <w:color w:val="050505"/>
                <w:sz w:val="20"/>
                <w:szCs w:val="20"/>
              </w:rPr>
              <w:t xml:space="preserve"> </w:t>
            </w:r>
          </w:p>
        </w:tc>
      </w:tr>
    </w:tbl>
    <w:p>
      <w:pPr>
        <w:pStyle w:val="skn-slo6sectiontitle"/>
        <w:pBdr>
          <w:top w:val="none" w:sz="0" w:space="0" w:color="auto"/>
          <w:left w:val="none" w:sz="0" w:space="0" w:color="auto"/>
          <w:bottom w:val="single" w:sz="8" w:space="0" w:color="469FBE"/>
          <w:right w:val="none" w:sz="0" w:space="0" w:color="auto"/>
        </w:pBdr>
        <w:spacing w:before="500" w:after="0"/>
        <w:ind w:left="0" w:right="0"/>
        <w:rPr>
          <w:rFonts w:ascii="Open Sans" w:eastAsia="Open Sans" w:hAnsi="Open Sans" w:cs="Open Sans"/>
          <w:b/>
          <w:bCs/>
          <w:caps/>
          <w:color w:val="469FBE"/>
          <w:bdr w:val="none" w:sz="0" w:space="0" w:color="auto"/>
          <w:vertAlign w:val="baseline"/>
        </w:rPr>
      </w:pPr>
      <w:r>
        <w:rPr>
          <w:rFonts w:ascii="Open Sans" w:eastAsia="Open Sans" w:hAnsi="Open Sans" w:cs="Open Sans"/>
          <w:bdr w:val="none" w:sz="0" w:space="0" w:color="auto"/>
          <w:vertAlign w:val="baseline"/>
        </w:rPr>
        <w:t>Certifications</w:t>
      </w:r>
    </w:p>
    <w:p>
      <w:pPr>
        <w:pStyle w:val="div"/>
        <w:pBdr>
          <w:top w:val="none" w:sz="0" w:space="0" w:color="auto"/>
          <w:left w:val="none" w:sz="0" w:space="0" w:color="auto"/>
          <w:bottom w:val="single" w:sz="8" w:space="0" w:color="469FBE"/>
          <w:right w:val="none" w:sz="0" w:space="0" w:color="auto"/>
        </w:pBdr>
        <w:spacing w:before="0" w:after="0" w:line="140" w:lineRule="exact"/>
        <w:ind w:left="0" w:right="0"/>
        <w:rPr>
          <w:rFonts w:ascii="Open Sans" w:eastAsia="Open Sans" w:hAnsi="Open Sans" w:cs="Open Sans"/>
          <w:b w:val="0"/>
          <w:bCs w:val="0"/>
          <w:color w:val="050505"/>
          <w:sz w:val="0"/>
          <w:szCs w:val="0"/>
          <w:bdr w:val="none" w:sz="0" w:space="0" w:color="auto"/>
          <w:vertAlign w:val="baseline"/>
        </w:rPr>
      </w:pPr>
    </w:p>
    <w:p>
      <w:pPr>
        <w:pStyle w:val="div"/>
        <w:pBdr>
          <w:top w:val="none" w:sz="0" w:space="0" w:color="auto"/>
          <w:left w:val="none" w:sz="0" w:space="0" w:color="auto"/>
          <w:bottom w:val="none" w:sz="0" w:space="0" w:color="auto"/>
          <w:right w:val="none" w:sz="0" w:space="0" w:color="auto"/>
        </w:pBdr>
        <w:spacing w:before="0" w:after="0" w:line="200" w:lineRule="exact"/>
        <w:ind w:left="0" w:right="0"/>
        <w:rPr>
          <w:rFonts w:ascii="Open Sans" w:eastAsia="Open Sans" w:hAnsi="Open Sans" w:cs="Open Sans"/>
          <w:b w:val="0"/>
          <w:bCs w:val="0"/>
          <w:color w:val="050505"/>
          <w:sz w:val="0"/>
          <w:szCs w:val="0"/>
          <w:bdr w:val="none" w:sz="0" w:space="0" w:color="auto"/>
          <w:vertAlign w:val="baseline"/>
        </w:rPr>
      </w:pPr>
    </w:p>
    <w:tbl>
      <w:tblPr>
        <w:tblW w:w="10520" w:type="dxa"/>
        <w:jc w:val="left"/>
        <w:tblInd w:w="0" w:type="dxa"/>
        <w:tblCellMar>
          <w:left w:w="108" w:type="dxa"/>
          <w:right w:w="108" w:type="dxa"/>
        </w:tblCellMar>
      </w:tblPr>
      <w:tblGrid>
        <w:gridCol w:w="5260"/>
        <w:gridCol w:w="5260"/>
      </w:tblGrid>
      <w:tr>
        <w:tblPrEx>
          <w:tblW w:w="10520" w:type="dxa"/>
          <w:jc w:val="left"/>
          <w:tblInd w:w="0" w:type="dxa"/>
          <w:tblCellMar>
            <w:left w:w="108" w:type="dxa"/>
            <w:right w:w="108" w:type="dxa"/>
          </w:tblCellMar>
        </w:tblPrEx>
        <w:trPr>
          <w:jc w:val="left"/>
        </w:trPr>
        <w:tc>
          <w:tcPr>
            <w:tcW w:w="5260" w:type="dxa"/>
            <w:tcMar>
              <w:left w:w="0" w:type="dxa"/>
            </w:tcMar>
            <w:vAlign w:val="top"/>
          </w:tcPr>
          <w:p>
            <w:pPr>
              <w:pStyle w:val="skn-slo6cmn-secparagraphany"/>
              <w:numPr>
                <w:ilvl w:val="0"/>
                <w:numId w:val="14"/>
              </w:numPr>
              <w:tabs>
                <w:tab w:val="left" w:pos="760"/>
              </w:tabs>
              <w:spacing w:before="0" w:after="100"/>
              <w:ind w:left="900" w:right="0" w:hanging="500"/>
              <w:rPr>
                <w:rStyle w:val="skn-slo6cmn-secparagraph"/>
                <w:b w:val="0"/>
                <w:bCs w:val="0"/>
                <w:color w:val="050505"/>
                <w:sz w:val="20"/>
                <w:szCs w:val="20"/>
                <w:bdr w:val="none" w:sz="0" w:space="0" w:color="auto"/>
                <w:vertAlign w:val="baseline"/>
              </w:rPr>
            </w:pPr>
            <w:r>
              <w:rPr>
                <w:rStyle w:val="skn-slo6cmn-secparagraph"/>
                <w:b w:val="0"/>
                <w:bCs w:val="0"/>
                <w:color w:val="050505"/>
                <w:bdr w:val="none" w:sz="0" w:space="0" w:color="auto"/>
                <w:vertAlign w:val="baseline"/>
              </w:rPr>
              <w:t>NASSCOM Certified Analytics Operations Professional</w:t>
            </w:r>
          </w:p>
        </w:tc>
        <w:tc>
          <w:tcPr>
            <w:tcW w:w="5260" w:type="dxa"/>
            <w:tcMar>
              <w:left w:w="0" w:type="dxa"/>
            </w:tcMar>
            <w:vAlign w:val="top"/>
          </w:tcPr>
          <w:p>
            <w:pPr>
              <w:pStyle w:val="skn-slo6cmn-secparagraphany"/>
              <w:numPr>
                <w:ilvl w:val="0"/>
                <w:numId w:val="15"/>
              </w:numPr>
              <w:tabs>
                <w:tab w:val="left" w:pos="760"/>
              </w:tabs>
              <w:spacing w:before="0" w:after="100"/>
              <w:ind w:left="900" w:right="0" w:hanging="500"/>
              <w:rPr>
                <w:rStyle w:val="skn-slo6cmn-secparagraph"/>
                <w:b w:val="0"/>
                <w:bCs w:val="0"/>
                <w:color w:val="050505"/>
                <w:sz w:val="20"/>
                <w:szCs w:val="20"/>
                <w:bdr w:val="none" w:sz="0" w:space="0" w:color="auto"/>
                <w:vertAlign w:val="baseline"/>
              </w:rPr>
            </w:pPr>
            <w:r>
              <w:rPr>
                <w:rStyle w:val="skn-slo6cmn-secparagraph"/>
                <w:b w:val="0"/>
                <w:bCs w:val="0"/>
                <w:color w:val="050505"/>
                <w:bdr w:val="none" w:sz="0" w:space="0" w:color="auto"/>
                <w:vertAlign w:val="baseline"/>
              </w:rPr>
              <w:t>IIM Kozhikode Certification in Business Analytics Operations</w:t>
            </w:r>
          </w:p>
        </w:tc>
      </w:tr>
      <w:tr>
        <w:tblPrEx>
          <w:tblW w:w="10520" w:type="dxa"/>
          <w:jc w:val="left"/>
          <w:tblInd w:w="0" w:type="dxa"/>
          <w:tblCellMar>
            <w:left w:w="108" w:type="dxa"/>
            <w:right w:w="108" w:type="dxa"/>
          </w:tblCellMar>
        </w:tblPrEx>
        <w:trPr>
          <w:jc w:val="left"/>
        </w:trPr>
        <w:tc>
          <w:tcPr>
            <w:tcW w:w="5260" w:type="dxa"/>
            <w:tcMar>
              <w:left w:w="0" w:type="dxa"/>
            </w:tcMar>
            <w:vAlign w:val="top"/>
          </w:tcPr>
          <w:p>
            <w:pPr>
              <w:pStyle w:val="skn-slo6cmn-secparagraphany"/>
              <w:numPr>
                <w:ilvl w:val="0"/>
                <w:numId w:val="16"/>
              </w:numPr>
              <w:tabs>
                <w:tab w:val="left" w:pos="760"/>
              </w:tabs>
              <w:spacing w:before="0" w:after="0"/>
              <w:ind w:left="900" w:right="0" w:hanging="500"/>
              <w:rPr>
                <w:rStyle w:val="skn-slo6cmn-secparagraphnth-last-child2"/>
                <w:rFonts w:ascii="Open Sans" w:eastAsia="Open Sans" w:hAnsi="Open Sans" w:cs="Open Sans"/>
                <w:b w:val="0"/>
                <w:bCs w:val="0"/>
                <w:color w:val="050505"/>
                <w:sz w:val="20"/>
                <w:szCs w:val="20"/>
                <w:bdr w:val="none" w:sz="0" w:space="0" w:color="auto"/>
                <w:vertAlign w:val="baseline"/>
              </w:rPr>
            </w:pPr>
            <w:r>
              <w:rPr>
                <w:rStyle w:val="skn-slo6cmn-secparagraphnth-last-child2"/>
                <w:rFonts w:ascii="Open Sans" w:eastAsia="Open Sans" w:hAnsi="Open Sans" w:cs="Open Sans"/>
                <w:b w:val="0"/>
                <w:bCs w:val="0"/>
                <w:color w:val="050505"/>
                <w:bdr w:val="none" w:sz="0" w:space="0" w:color="auto"/>
                <w:vertAlign w:val="baseline"/>
              </w:rPr>
              <w:t>ITIL Foundation Certification</w:t>
            </w:r>
          </w:p>
        </w:tc>
        <w:tc>
          <w:tcPr>
            <w:tcW w:w="5260" w:type="dxa"/>
            <w:tcMar>
              <w:left w:w="0" w:type="dxa"/>
            </w:tcMar>
            <w:vAlign w:val="top"/>
          </w:tcPr>
          <w:p>
            <w:pPr>
              <w:pStyle w:val="skn-slo6cmn-secparagraphany"/>
              <w:numPr>
                <w:ilvl w:val="0"/>
                <w:numId w:val="17"/>
              </w:numPr>
              <w:tabs>
                <w:tab w:val="left" w:pos="760"/>
              </w:tabs>
              <w:spacing w:before="0" w:after="0"/>
              <w:ind w:left="900" w:right="0" w:hanging="500"/>
              <w:rPr>
                <w:rStyle w:val="skn-slo6cmn-secparagraphnth-last-child1"/>
                <w:rFonts w:ascii="Open Sans" w:eastAsia="Open Sans" w:hAnsi="Open Sans" w:cs="Open Sans"/>
                <w:b w:val="0"/>
                <w:bCs w:val="0"/>
                <w:color w:val="050505"/>
                <w:sz w:val="20"/>
                <w:szCs w:val="20"/>
                <w:bdr w:val="none" w:sz="0" w:space="0" w:color="auto"/>
                <w:vertAlign w:val="baseline"/>
              </w:rPr>
            </w:pPr>
            <w:r>
              <w:rPr>
                <w:rStyle w:val="skn-slo6cmn-secparagraphnth-last-child1"/>
                <w:rFonts w:ascii="Open Sans" w:eastAsia="Open Sans" w:hAnsi="Open Sans" w:cs="Open Sans"/>
                <w:b w:val="0"/>
                <w:bCs w:val="0"/>
                <w:color w:val="050505"/>
                <w:bdr w:val="none" w:sz="0" w:space="0" w:color="auto"/>
                <w:vertAlign w:val="baseline"/>
              </w:rPr>
              <w:t>Microsoft Certified: Power BI Data Analyst Associate</w:t>
            </w:r>
          </w:p>
        </w:tc>
      </w:tr>
    </w:tbl>
    <w:p>
      <w:pPr>
        <w:pStyle w:val="skn-slo6sectiontitle"/>
        <w:pBdr>
          <w:top w:val="none" w:sz="0" w:space="0" w:color="auto"/>
          <w:left w:val="none" w:sz="0" w:space="0" w:color="auto"/>
          <w:bottom w:val="single" w:sz="8" w:space="0" w:color="469FBE"/>
          <w:right w:val="none" w:sz="0" w:space="0" w:color="auto"/>
        </w:pBdr>
        <w:spacing w:before="500" w:after="0"/>
        <w:ind w:left="0" w:right="0"/>
        <w:rPr>
          <w:rFonts w:ascii="Open Sans" w:eastAsia="Open Sans" w:hAnsi="Open Sans" w:cs="Open Sans"/>
          <w:b/>
          <w:bCs/>
          <w:caps/>
          <w:color w:val="469FBE"/>
          <w:bdr w:val="none" w:sz="0" w:space="0" w:color="auto"/>
          <w:vertAlign w:val="baseline"/>
        </w:rPr>
      </w:pPr>
      <w:r>
        <w:rPr>
          <w:rFonts w:ascii="Open Sans" w:eastAsia="Open Sans" w:hAnsi="Open Sans" w:cs="Open Sans"/>
          <w:bdr w:val="none" w:sz="0" w:space="0" w:color="auto"/>
          <w:vertAlign w:val="baseline"/>
        </w:rPr>
        <w:t>Projects</w:t>
      </w:r>
    </w:p>
    <w:p>
      <w:pPr>
        <w:pStyle w:val="div"/>
        <w:pBdr>
          <w:top w:val="none" w:sz="0" w:space="0" w:color="auto"/>
          <w:left w:val="none" w:sz="0" w:space="0" w:color="auto"/>
          <w:bottom w:val="single" w:sz="8" w:space="0" w:color="469FBE"/>
          <w:right w:val="none" w:sz="0" w:space="0" w:color="auto"/>
        </w:pBdr>
        <w:spacing w:before="0" w:after="0" w:line="140" w:lineRule="exact"/>
        <w:ind w:left="0" w:right="0"/>
        <w:rPr>
          <w:rFonts w:ascii="Open Sans" w:eastAsia="Open Sans" w:hAnsi="Open Sans" w:cs="Open Sans"/>
          <w:b w:val="0"/>
          <w:bCs w:val="0"/>
          <w:color w:val="050505"/>
          <w:sz w:val="20"/>
          <w:szCs w:val="20"/>
          <w:bdr w:val="none" w:sz="0" w:space="0" w:color="auto"/>
          <w:vertAlign w:val="baseline"/>
        </w:rPr>
      </w:pPr>
    </w:p>
    <w:p>
      <w:pPr>
        <w:pStyle w:val="div"/>
        <w:pBdr>
          <w:top w:val="none" w:sz="0" w:space="0" w:color="auto"/>
          <w:left w:val="none" w:sz="0" w:space="0" w:color="auto"/>
          <w:bottom w:val="none" w:sz="0" w:space="0" w:color="auto"/>
          <w:right w:val="none" w:sz="0" w:space="0" w:color="auto"/>
        </w:pBdr>
        <w:spacing w:before="0" w:after="0" w:line="200" w:lineRule="exact"/>
        <w:ind w:left="0" w:right="0"/>
        <w:rPr>
          <w:rFonts w:ascii="Open Sans" w:eastAsia="Open Sans" w:hAnsi="Open Sans" w:cs="Open Sans"/>
          <w:b w:val="0"/>
          <w:bCs w:val="0"/>
          <w:color w:val="050505"/>
          <w:sz w:val="20"/>
          <w:szCs w:val="20"/>
          <w:bdr w:val="none" w:sz="0" w:space="0" w:color="auto"/>
          <w:vertAlign w:val="baseline"/>
        </w:rPr>
      </w:pPr>
    </w:p>
    <w:p>
      <w:pPr>
        <w:pStyle w:val="firstparagraphparaSpacing"/>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vanish/>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 </w:t>
      </w:r>
    </w:p>
    <w:p>
      <w:pPr>
        <w:pStyle w:val="skn-slo6singlecolumn"/>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BI Operations Stabilization Program, Standardized BI support processes and reduced recurring incidents across enterprise reporting platforms. Reporting SLA Monitoring Dashboard, Implemented operational dashboards tracking refresh status, failures, and resolution timelines for BI leadership.</w:t>
      </w:r>
    </w:p>
    <w:p>
      <w:pPr>
        <w:pStyle w:val="skn-slo6sectiontitle"/>
        <w:pBdr>
          <w:top w:val="none" w:sz="0" w:space="0" w:color="auto"/>
          <w:left w:val="none" w:sz="0" w:space="0" w:color="auto"/>
          <w:bottom w:val="single" w:sz="8" w:space="0" w:color="469FBE"/>
          <w:right w:val="none" w:sz="0" w:space="0" w:color="auto"/>
        </w:pBdr>
        <w:spacing w:before="500" w:after="0"/>
        <w:ind w:left="0" w:right="0"/>
        <w:rPr>
          <w:rFonts w:ascii="Open Sans" w:eastAsia="Open Sans" w:hAnsi="Open Sans" w:cs="Open Sans"/>
          <w:b/>
          <w:bCs/>
          <w:caps/>
          <w:color w:val="469FBE"/>
          <w:bdr w:val="none" w:sz="0" w:space="0" w:color="auto"/>
          <w:vertAlign w:val="baseline"/>
        </w:rPr>
      </w:pPr>
      <w:r>
        <w:rPr>
          <w:rFonts w:ascii="Open Sans" w:eastAsia="Open Sans" w:hAnsi="Open Sans" w:cs="Open Sans"/>
          <w:bdr w:val="none" w:sz="0" w:space="0" w:color="auto"/>
          <w:vertAlign w:val="baseline"/>
        </w:rPr>
        <w:t>Accomplishments</w:t>
      </w:r>
    </w:p>
    <w:p>
      <w:pPr>
        <w:pStyle w:val="div"/>
        <w:pBdr>
          <w:top w:val="none" w:sz="0" w:space="0" w:color="auto"/>
          <w:left w:val="none" w:sz="0" w:space="0" w:color="auto"/>
          <w:bottom w:val="single" w:sz="8" w:space="0" w:color="469FBE"/>
          <w:right w:val="none" w:sz="0" w:space="0" w:color="auto"/>
        </w:pBdr>
        <w:spacing w:before="0" w:after="0" w:line="140" w:lineRule="exact"/>
        <w:ind w:left="0" w:right="0"/>
        <w:rPr>
          <w:rFonts w:ascii="Open Sans" w:eastAsia="Open Sans" w:hAnsi="Open Sans" w:cs="Open Sans"/>
          <w:b w:val="0"/>
          <w:bCs w:val="0"/>
          <w:color w:val="050505"/>
          <w:sz w:val="20"/>
          <w:szCs w:val="20"/>
          <w:bdr w:val="none" w:sz="0" w:space="0" w:color="auto"/>
          <w:vertAlign w:val="baseline"/>
        </w:rPr>
      </w:pPr>
    </w:p>
    <w:p>
      <w:pPr>
        <w:pStyle w:val="div"/>
        <w:pBdr>
          <w:top w:val="none" w:sz="0" w:space="0" w:color="auto"/>
          <w:left w:val="none" w:sz="0" w:space="0" w:color="auto"/>
          <w:bottom w:val="none" w:sz="0" w:space="0" w:color="auto"/>
          <w:right w:val="none" w:sz="0" w:space="0" w:color="auto"/>
        </w:pBdr>
        <w:spacing w:before="0" w:after="0" w:line="200" w:lineRule="exact"/>
        <w:ind w:left="0" w:right="0"/>
        <w:rPr>
          <w:rFonts w:ascii="Open Sans" w:eastAsia="Open Sans" w:hAnsi="Open Sans" w:cs="Open Sans"/>
          <w:b w:val="0"/>
          <w:bCs w:val="0"/>
          <w:color w:val="050505"/>
          <w:sz w:val="20"/>
          <w:szCs w:val="20"/>
          <w:bdr w:val="none" w:sz="0" w:space="0" w:color="auto"/>
          <w:vertAlign w:val="baseline"/>
        </w:rPr>
      </w:pPr>
    </w:p>
    <w:p>
      <w:pPr>
        <w:pStyle w:val="firstparagraphparaSpacing"/>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vanish/>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 </w:t>
      </w:r>
    </w:p>
    <w:p>
      <w:pPr>
        <w:pStyle w:val="ulli"/>
        <w:numPr>
          <w:ilvl w:val="0"/>
          <w:numId w:val="18"/>
        </w:numPr>
        <w:spacing w:before="160" w:after="100"/>
        <w:ind w:left="760" w:right="0" w:hanging="35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Improved BI platform uptime by 20 percent at Genpact India Pvt Ltd through structured operations governance.</w:t>
      </w:r>
    </w:p>
    <w:p>
      <w:pPr>
        <w:pStyle w:val="ulli"/>
        <w:numPr>
          <w:ilvl w:val="0"/>
          <w:numId w:val="18"/>
        </w:numPr>
        <w:spacing w:after="100"/>
        <w:ind w:left="760" w:right="0" w:hanging="35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Reduced incident resolution time at WNS Global Services by implementing standardized support runbooks.</w:t>
      </w:r>
    </w:p>
    <w:p>
      <w:pPr>
        <w:pStyle w:val="ullinth-last-child1"/>
        <w:numPr>
          <w:ilvl w:val="0"/>
          <w:numId w:val="18"/>
        </w:numPr>
        <w:pBdr>
          <w:left w:val="none" w:sz="0" w:space="8" w:color="auto"/>
        </w:pBdr>
        <w:spacing w:after="0"/>
        <w:ind w:left="760" w:right="0" w:hanging="35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Recognized at Tata Consultancy Services for consistent accuracy in operational reporting support.</w:t>
      </w:r>
    </w:p>
    <w:p>
      <w:pPr>
        <w:pStyle w:val="skn-slo6sectiontitle"/>
        <w:pBdr>
          <w:top w:val="none" w:sz="0" w:space="0" w:color="auto"/>
          <w:left w:val="none" w:sz="0" w:space="0" w:color="auto"/>
          <w:bottom w:val="single" w:sz="8" w:space="0" w:color="469FBE"/>
          <w:right w:val="none" w:sz="0" w:space="0" w:color="auto"/>
        </w:pBdr>
        <w:spacing w:before="500" w:after="0"/>
        <w:ind w:left="0" w:right="0"/>
        <w:rPr>
          <w:rFonts w:ascii="Open Sans" w:eastAsia="Open Sans" w:hAnsi="Open Sans" w:cs="Open Sans"/>
          <w:b/>
          <w:bCs/>
          <w:caps/>
          <w:color w:val="469FBE"/>
          <w:bdr w:val="none" w:sz="0" w:space="0" w:color="auto"/>
          <w:vertAlign w:val="baseline"/>
        </w:rPr>
      </w:pPr>
      <w:r>
        <w:rPr>
          <w:rFonts w:ascii="Open Sans" w:eastAsia="Open Sans" w:hAnsi="Open Sans" w:cs="Open Sans"/>
          <w:bdr w:val="none" w:sz="0" w:space="0" w:color="auto"/>
          <w:vertAlign w:val="baseline"/>
        </w:rPr>
        <w:t>References</w:t>
      </w:r>
    </w:p>
    <w:p>
      <w:pPr>
        <w:pStyle w:val="div"/>
        <w:pBdr>
          <w:top w:val="none" w:sz="0" w:space="0" w:color="auto"/>
          <w:left w:val="none" w:sz="0" w:space="0" w:color="auto"/>
          <w:bottom w:val="single" w:sz="8" w:space="0" w:color="469FBE"/>
          <w:right w:val="none" w:sz="0" w:space="0" w:color="auto"/>
        </w:pBdr>
        <w:spacing w:before="0" w:after="0" w:line="140" w:lineRule="exact"/>
        <w:ind w:left="0" w:right="0"/>
        <w:rPr>
          <w:rFonts w:ascii="Open Sans" w:eastAsia="Open Sans" w:hAnsi="Open Sans" w:cs="Open Sans"/>
          <w:b w:val="0"/>
          <w:bCs w:val="0"/>
          <w:color w:val="050505"/>
          <w:sz w:val="20"/>
          <w:szCs w:val="20"/>
          <w:bdr w:val="none" w:sz="0" w:space="0" w:color="auto"/>
          <w:vertAlign w:val="baseline"/>
        </w:rPr>
      </w:pPr>
    </w:p>
    <w:p>
      <w:pPr>
        <w:pStyle w:val="div"/>
        <w:pBdr>
          <w:top w:val="none" w:sz="0" w:space="0" w:color="auto"/>
          <w:left w:val="none" w:sz="0" w:space="0" w:color="auto"/>
          <w:bottom w:val="none" w:sz="0" w:space="0" w:color="auto"/>
          <w:right w:val="none" w:sz="0" w:space="0" w:color="auto"/>
        </w:pBdr>
        <w:spacing w:before="0" w:after="0" w:line="200" w:lineRule="exact"/>
        <w:ind w:left="0" w:right="0"/>
        <w:rPr>
          <w:rFonts w:ascii="Open Sans" w:eastAsia="Open Sans" w:hAnsi="Open Sans" w:cs="Open Sans"/>
          <w:b w:val="0"/>
          <w:bCs w:val="0"/>
          <w:color w:val="050505"/>
          <w:sz w:val="20"/>
          <w:szCs w:val="20"/>
          <w:bdr w:val="none" w:sz="0" w:space="0" w:color="auto"/>
          <w:vertAlign w:val="baseline"/>
        </w:rPr>
      </w:pPr>
    </w:p>
    <w:p>
      <w:pPr>
        <w:pStyle w:val="skn-slo6sectionreference-secparagraphupon-req-para"/>
        <w:pBdr>
          <w:top w:val="none" w:sz="0" w:space="0" w:color="auto"/>
          <w:left w:val="none" w:sz="0" w:space="0" w:color="auto"/>
          <w:bottom w:val="none" w:sz="0" w:space="0" w:color="auto"/>
          <w:right w:val="none" w:sz="0" w:space="0" w:color="auto"/>
        </w:pBdr>
        <w:spacing w:before="0" w:after="0"/>
        <w:ind w:left="0" w:right="0"/>
        <w:textAlignment w:val="top"/>
        <w:rPr>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rPr>
        <w:t>References available upon request</w:t>
      </w:r>
    </w:p>
    <w:sectPr>
      <w:headerReference w:type="default" r:id="rId4"/>
      <w:footerReference w:type="default" r:id="rId5"/>
      <w:pgSz w:w="12240" w:h="15840"/>
      <w:pgMar w:top="460" w:right="860" w:bottom="460" w:left="860" w:header="0" w:footer="0"/>
      <w:cols w:space="720"/>
    </w:sectPr>
  </w:body>
</w:document>
</file>

<file path=word/fontTable.xml><?xml version="1.0" encoding="utf-8"?>
<w:fonts xmlns:r="http://schemas.openxmlformats.org/officeDocument/2006/relationships" xmlns:w="http://schemas.openxmlformats.org/wordprocessingml/2006/main">
  <w:font w:name="Open Sans">
    <w:charset w:val="00"/>
    <w:family w:val="auto"/>
    <w:pitch w:val="default"/>
    <w:sig w:usb0="00000000" w:usb1="00000000" w:usb2="00000000" w:usb3="00000000" w:csb0="00000001" w:csb1="00000000"/>
    <w:embedRegular r:id="rId1" w:fontKey="{43AA9601-F3F8-4F5A-93AF-515B7135864A}"/>
    <w:embedBold r:id="rId2" w:fontKey="{56E20B28-370A-4A74-8D68-3FF3E0FD1FF5}"/>
    <w:embedItalic r:id="rId3" w:fontKey="{4CB90AA5-8880-4B57-8F79-CD44FCA763CC}"/>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rPr>
        <w:color w:val="FFFFFF"/>
        <w:sz w:val="2"/>
      </w:rPr>
      <w:t>.</w: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rPr>
        <w:color w:val="FFFFFF"/>
        <w:sz w:val="2"/>
      </w:rPr>
      <w:t>.</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2">
    <w:nsid w:val="0000000D"/>
    <w:multiLevelType w:val="hybridMultilevel"/>
    <w:tmpl w:val="0000000D"/>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3">
    <w:nsid w:val="0000000E"/>
    <w:multiLevelType w:val="hybridMultilevel"/>
    <w:tmpl w:val="0000000E"/>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4">
    <w:nsid w:val="0000000F"/>
    <w:multiLevelType w:val="hybridMultilevel"/>
    <w:tmpl w:val="0000000F"/>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5">
    <w:nsid w:val="00000010"/>
    <w:multiLevelType w:val="hybridMultilevel"/>
    <w:tmpl w:val="00000010"/>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6">
    <w:nsid w:val="00000011"/>
    <w:multiLevelType w:val="hybridMultilevel"/>
    <w:tmpl w:val="00000011"/>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7">
    <w:nsid w:val="00000012"/>
    <w:multiLevelType w:val="hybridMultilevel"/>
    <w:tmpl w:val="00000012"/>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 w:numId="17">
    <w:abstractNumId w:val="16"/>
  </w:num>
  <w:num w:numId="18">
    <w:abstractNumId w:val="1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pPr>
      <w:pBdr>
        <w:top w:val="none" w:sz="0" w:space="0" w:color="auto"/>
        <w:left w:val="none" w:sz="0" w:space="0" w:color="auto"/>
        <w:bottom w:val="none" w:sz="0" w:space="0" w:color="auto"/>
        <w:right w:val="none" w:sz="0" w:space="0" w:color="auto"/>
      </w:pBdr>
      <w:spacing w:line="240" w:lineRule="atLeast"/>
      <w:jc w:val="left"/>
      <w:textAlignment w:val="baseline"/>
    </w:pPr>
    <w:rPr>
      <w:sz w:val="24"/>
      <w:szCs w:val="24"/>
      <w:bdr w:val="none" w:sz="0" w:space="0" w:color="auto"/>
      <w:vertAlign w:val="baseline"/>
    </w:rPr>
  </w:style>
  <w:style w:type="paragraph" w:styleId="Heading1">
    <w:name w:val="heading 1"/>
    <w:basedOn w:val="Normal"/>
    <w:next w:val="Normal"/>
    <w:link w:val="Heading1Char"/>
    <w:uiPriority w:val="9"/>
    <w:qFormat/>
    <w:rsid w:val="00506D7A"/>
    <w:pPr>
      <w:keepNext/>
      <w:keepLines/>
      <w:pBdr>
        <w:top w:val="none" w:sz="0" w:space="0" w:color="auto"/>
        <w:left w:val="none" w:sz="0" w:space="0" w:color="auto"/>
        <w:bottom w:val="none" w:sz="0" w:space="0" w:color="auto"/>
        <w:right w:val="none" w:sz="0" w:space="0" w:color="auto"/>
      </w:pBdr>
      <w:spacing w:before="240" w:after="0"/>
      <w:textAlignment w:val="baseline"/>
      <w:outlineLvl w:val="0"/>
    </w:pPr>
    <w:rPr>
      <w:rFonts w:ascii="Times New Roman" w:eastAsia="Times New Roman" w:hAnsi="Times New Roman" w:cs="Times New Roman"/>
      <w:b/>
      <w:bCs/>
      <w:i w:val="0"/>
      <w:color w:val="2F5496" w:themeShade="BF"/>
      <w:kern w:val="36"/>
      <w:sz w:val="48"/>
      <w:szCs w:val="48"/>
      <w:bdr w:val="none" w:sz="0" w:space="0" w:color="auto"/>
      <w:vertAlign w:val="baseline"/>
    </w:rPr>
  </w:style>
  <w:style w:type="paragraph" w:styleId="Heading2">
    <w:name w:val="heading 2"/>
    <w:basedOn w:val="Normal"/>
    <w:next w:val="Normal"/>
    <w:link w:val="Heading2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1"/>
    </w:pPr>
    <w:rPr>
      <w:rFonts w:ascii="Times New Roman" w:eastAsia="Times New Roman" w:hAnsi="Times New Roman" w:cs="Times New Roman"/>
      <w:b/>
      <w:bCs/>
      <w:i w:val="0"/>
      <w:color w:val="2F5496" w:themeShade="BF"/>
      <w:sz w:val="36"/>
      <w:szCs w:val="36"/>
      <w:bdr w:val="none" w:sz="0" w:space="0" w:color="auto"/>
      <w:vertAlign w:val="baseline"/>
    </w:rPr>
  </w:style>
  <w:style w:type="paragraph" w:styleId="Heading3">
    <w:name w:val="heading 3"/>
    <w:basedOn w:val="Normal"/>
    <w:next w:val="Normal"/>
    <w:link w:val="Heading3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2"/>
    </w:pPr>
    <w:rPr>
      <w:rFonts w:ascii="Times New Roman" w:eastAsia="Times New Roman" w:hAnsi="Times New Roman" w:cs="Times New Roman"/>
      <w:b/>
      <w:bCs/>
      <w:i w:val="0"/>
      <w:color w:val="1F3763" w:themeShade="7F"/>
      <w:sz w:val="28"/>
      <w:szCs w:val="28"/>
      <w:bdr w:val="none" w:sz="0" w:space="0" w:color="auto"/>
      <w:vertAlign w:val="baseline"/>
    </w:rPr>
  </w:style>
  <w:style w:type="paragraph" w:styleId="Heading4">
    <w:name w:val="heading 4"/>
    <w:basedOn w:val="Normal"/>
    <w:next w:val="Normal"/>
    <w:link w:val="Heading4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3"/>
    </w:pPr>
    <w:rPr>
      <w:rFonts w:ascii="Times New Roman" w:eastAsia="Times New Roman" w:hAnsi="Times New Roman" w:cs="Times New Roman"/>
      <w:b/>
      <w:bCs/>
      <w:i w:val="0"/>
      <w:iCs/>
      <w:color w:val="2F5496" w:themeShade="BF"/>
      <w:sz w:val="24"/>
      <w:szCs w:val="24"/>
      <w:bdr w:val="none" w:sz="0" w:space="0" w:color="auto"/>
      <w:vertAlign w:val="baseline"/>
    </w:rPr>
  </w:style>
  <w:style w:type="paragraph" w:styleId="Heading5">
    <w:name w:val="heading 5"/>
    <w:basedOn w:val="Normal"/>
    <w:next w:val="Normal"/>
    <w:link w:val="Heading5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4"/>
    </w:pPr>
    <w:rPr>
      <w:rFonts w:ascii="Times New Roman" w:eastAsia="Times New Roman" w:hAnsi="Times New Roman" w:cs="Times New Roman"/>
      <w:b/>
      <w:bCs/>
      <w:i w:val="0"/>
      <w:color w:val="2F5496" w:themeShade="BF"/>
      <w:sz w:val="20"/>
      <w:szCs w:val="20"/>
      <w:bdr w:val="none" w:sz="0" w:space="0" w:color="auto"/>
      <w:vertAlign w:val="baseline"/>
    </w:rPr>
  </w:style>
  <w:style w:type="paragraph" w:styleId="Heading6">
    <w:name w:val="heading 6"/>
    <w:basedOn w:val="Normal"/>
    <w:next w:val="Normal"/>
    <w:link w:val="Heading6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5"/>
    </w:pPr>
    <w:rPr>
      <w:rFonts w:ascii="Times New Roman" w:eastAsia="Times New Roman" w:hAnsi="Times New Roman" w:cs="Times New Roman"/>
      <w:b/>
      <w:bCs/>
      <w:i w:val="0"/>
      <w:color w:val="1F3763" w:themeShade="7F"/>
      <w:sz w:val="16"/>
      <w:szCs w:val="16"/>
      <w:bdr w:val="none" w:sz="0" w:space="0" w:color="auto"/>
      <w:vertAlign w:val="baseline"/>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slo6pagesize">
    <w:name w:val="skn-slo6_pagesize"/>
    <w:basedOn w:val="Normal"/>
  </w:style>
  <w:style w:type="paragraph" w:customStyle="1" w:styleId="skn-slo6top-section">
    <w:name w:val="skn-slo6_top-section"/>
    <w:basedOn w:val="Normal"/>
    <w:pPr>
      <w:pBdr>
        <w:bottom w:val="single" w:sz="8" w:space="0" w:color="469FBE"/>
      </w:pBdr>
      <w:jc w:val="center"/>
    </w:pPr>
  </w:style>
  <w:style w:type="character" w:customStyle="1" w:styleId="skn-slo6name-sec">
    <w:name w:val="skn-slo6_name-sec"/>
    <w:basedOn w:val="DefaultParagraphFont"/>
  </w:style>
  <w:style w:type="paragraph" w:customStyle="1" w:styleId="skn-slo6firstparagraph">
    <w:name w:val="skn-slo6_firstparagraph"/>
    <w:basedOn w:val="Normal"/>
  </w:style>
  <w:style w:type="paragraph" w:customStyle="1" w:styleId="skn-slo6name">
    <w:name w:val="skn-slo6_name"/>
    <w:basedOn w:val="Normal"/>
    <w:pPr>
      <w:spacing w:line="600" w:lineRule="atLeast"/>
    </w:pPr>
    <w:rPr>
      <w:b/>
      <w:bCs/>
      <w:color w:val="469FBE"/>
      <w:sz w:val="48"/>
      <w:szCs w:val="48"/>
    </w:rPr>
  </w:style>
  <w:style w:type="character" w:customStyle="1" w:styleId="span">
    <w:name w:val="span"/>
    <w:basedOn w:val="DefaultParagraphFont"/>
    <w:rPr>
      <w:bdr w:val="none" w:sz="0" w:space="0" w:color="auto"/>
      <w:vertAlign w:val="baseline"/>
    </w:rPr>
  </w:style>
  <w:style w:type="paragraph" w:customStyle="1" w:styleId="skn-slo6txt-caps">
    <w:name w:val="skn-slo6_txt-caps"/>
    <w:basedOn w:val="Normal"/>
    <w:rPr>
      <w:caps/>
    </w:rPr>
  </w:style>
  <w:style w:type="paragraph" w:customStyle="1" w:styleId="namePictPara">
    <w:name w:val="namePictPara"/>
    <w:basedOn w:val="Normal"/>
    <w:pPr>
      <w:pBdr>
        <w:bottom w:val="none" w:sz="0" w:space="13" w:color="auto"/>
      </w:pBdr>
    </w:pPr>
  </w:style>
  <w:style w:type="character" w:customStyle="1" w:styleId="skn-slo6firstparagraphCharacter">
    <w:name w:val="skn-slo6_firstparagraph Character"/>
    <w:basedOn w:val="DefaultParagraphFont"/>
  </w:style>
  <w:style w:type="table" w:customStyle="1" w:styleId="skn-slo6top-left-box">
    <w:name w:val="skn-slo6_top-left-box"/>
    <w:basedOn w:val="TableNormal"/>
    <w:tblPr/>
  </w:style>
  <w:style w:type="paragraph" w:customStyle="1" w:styleId="skn-slo6middle-section">
    <w:name w:val="skn-slo6_middle-section"/>
    <w:basedOn w:val="Normal"/>
    <w:pPr>
      <w:jc w:val="center"/>
    </w:pPr>
  </w:style>
  <w:style w:type="paragraph" w:customStyle="1" w:styleId="div">
    <w:name w:val="div"/>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skn-slo6cntc-sec">
    <w:name w:val="skn-slo6_cntc-sec"/>
    <w:basedOn w:val="Normal"/>
  </w:style>
  <w:style w:type="paragraph" w:customStyle="1" w:styleId="skn-slo6addressaddr-details">
    <w:name w:val="skn-slo6_address_addr-details"/>
    <w:basedOn w:val="Normal"/>
    <w:pPr>
      <w:pBdr>
        <w:right w:val="none" w:sz="0" w:space="15" w:color="auto"/>
      </w:pBdr>
      <w:jc w:val="center"/>
    </w:pPr>
  </w:style>
  <w:style w:type="character" w:customStyle="1" w:styleId="skn-slo6addressaddr-detailsCharacter">
    <w:name w:val="skn-slo6_address_addr-details Character"/>
    <w:basedOn w:val="DefaultParagraphFont"/>
  </w:style>
  <w:style w:type="paragraph" w:customStyle="1" w:styleId="skn-slo6addressaddr-detailsnth-last-child3">
    <w:name w:val="skn-slo6_address_addr-details_nth-last-child(3)"/>
    <w:basedOn w:val="Normal"/>
  </w:style>
  <w:style w:type="character" w:customStyle="1" w:styleId="skn-slo6addressaddr-detailsnth-last-child3Character">
    <w:name w:val="skn-slo6_address_addr-details_nth-last-child(3) Character"/>
    <w:basedOn w:val="DefaultParagraphFont"/>
  </w:style>
  <w:style w:type="paragraph" w:customStyle="1" w:styleId="skn-slo6addressaddr-detailsnth-last-child2">
    <w:name w:val="skn-slo6_address_addr-details_nth-last-child(2)"/>
    <w:basedOn w:val="Normal"/>
  </w:style>
  <w:style w:type="character" w:customStyle="1" w:styleId="skn-slo6spanempty">
    <w:name w:val="skn-slo6_span_empty"/>
    <w:basedOn w:val="DefaultParagraphFont"/>
    <w:rPr>
      <w:vanish/>
    </w:rPr>
  </w:style>
  <w:style w:type="character" w:customStyle="1" w:styleId="skn-slo6addressaddr-detailsnth-last-child2Character">
    <w:name w:val="skn-slo6_address_addr-details_nth-last-child(2) Character"/>
    <w:basedOn w:val="DefaultParagraphFont"/>
  </w:style>
  <w:style w:type="paragraph" w:customStyle="1" w:styleId="skn-slo6addressaddr-detailsnth-last-child1">
    <w:name w:val="skn-slo6_address_addr-details_nth-last-child(1)"/>
    <w:basedOn w:val="Normal"/>
    <w:pPr>
      <w:pBdr>
        <w:right w:val="none" w:sz="0" w:space="0" w:color="auto"/>
      </w:pBdr>
    </w:pPr>
  </w:style>
  <w:style w:type="character" w:customStyle="1" w:styleId="skn-slo6addressaddr-detailsnth-last-child1Character">
    <w:name w:val="skn-slo6_address_addr-details_nth-last-child(1) Character"/>
    <w:basedOn w:val="DefaultParagraphFont"/>
  </w:style>
  <w:style w:type="paragraph" w:customStyle="1" w:styleId="brdr">
    <w:name w:val="brdr"/>
    <w:basedOn w:val="Normal"/>
    <w:pPr>
      <w:pBdr>
        <w:top w:val="single" w:sz="8" w:space="0" w:color="050505"/>
      </w:pBdr>
      <w:spacing w:line="20" w:lineRule="atLeast"/>
    </w:pPr>
    <w:rPr>
      <w:sz w:val="2"/>
      <w:szCs w:val="2"/>
    </w:rPr>
  </w:style>
  <w:style w:type="paragraph" w:customStyle="1" w:styleId="skn-slo6section">
    <w:name w:val="skn-slo6_section"/>
    <w:basedOn w:val="Normal"/>
  </w:style>
  <w:style w:type="paragraph" w:customStyle="1" w:styleId="skn-slo6txt-itl">
    <w:name w:val="skn-slo6_txt-itl"/>
    <w:basedOn w:val="Normal"/>
    <w:rPr>
      <w:i/>
      <w:iCs/>
    </w:rPr>
  </w:style>
  <w:style w:type="paragraph" w:customStyle="1" w:styleId="firstparagraphparaSpacing">
    <w:name w:val="firstparagraph_paraSpacing"/>
    <w:basedOn w:val="Normal"/>
    <w:rPr>
      <w:vanish/>
    </w:rPr>
  </w:style>
  <w:style w:type="paragraph" w:customStyle="1" w:styleId="skn-slo6singlecolumn">
    <w:name w:val="skn-slo6_singlecolumn"/>
    <w:basedOn w:val="Normal"/>
    <w:pPr>
      <w:pBdr>
        <w:left w:val="none" w:sz="0" w:space="0" w:color="auto"/>
      </w:pBdr>
    </w:pPr>
  </w:style>
  <w:style w:type="paragraph" w:customStyle="1" w:styleId="p">
    <w:name w:val="p"/>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skn-slo6cmn-secsection">
    <w:name w:val="skn-slo6_cmn-sec_section"/>
    <w:basedOn w:val="Normal"/>
    <w:rPr>
      <w:sz w:val="0"/>
      <w:szCs w:val="0"/>
    </w:rPr>
  </w:style>
  <w:style w:type="paragraph" w:customStyle="1" w:styleId="skn-slo6heading">
    <w:name w:val="skn-slo6_heading"/>
    <w:basedOn w:val="Normal"/>
    <w:pPr>
      <w:pBdr>
        <w:bottom w:val="single" w:sz="8" w:space="0" w:color="469FBE"/>
      </w:pBdr>
    </w:pPr>
  </w:style>
  <w:style w:type="paragraph" w:customStyle="1" w:styleId="skn-slo6sectiontitle">
    <w:name w:val="skn-slo6_sectiontitle"/>
    <w:basedOn w:val="Normal"/>
    <w:pPr>
      <w:spacing w:line="300" w:lineRule="atLeast"/>
    </w:pPr>
    <w:rPr>
      <w:b/>
      <w:bCs/>
      <w:caps/>
      <w:color w:val="469FBE"/>
      <w:sz w:val="24"/>
      <w:szCs w:val="24"/>
    </w:rPr>
  </w:style>
  <w:style w:type="character" w:customStyle="1" w:styleId="skn-slo6cmn-secparagraph">
    <w:name w:val="skn-slo6_cmn-sec_paragraph"/>
    <w:basedOn w:val="DefaultParagraphFont"/>
    <w:rPr>
      <w:rFonts w:ascii="Open Sans" w:eastAsia="Open Sans" w:hAnsi="Open Sans" w:cs="Open Sans"/>
    </w:rPr>
  </w:style>
  <w:style w:type="paragraph" w:customStyle="1" w:styleId="skn-slo6cmn-secparagraphany">
    <w:name w:val="skn-slo6_cmn-sec_paragraph_any"/>
    <w:basedOn w:val="Normal"/>
    <w:rPr>
      <w:sz w:val="20"/>
      <w:szCs w:val="20"/>
    </w:rPr>
  </w:style>
  <w:style w:type="character" w:customStyle="1" w:styleId="skn-slo6cmn-secparagraphanyCharacter">
    <w:name w:val="skn-slo6_cmn-sec_paragraph_any Character"/>
    <w:basedOn w:val="DefaultParagraphFont"/>
    <w:rPr>
      <w:sz w:val="20"/>
      <w:szCs w:val="20"/>
    </w:rPr>
  </w:style>
  <w:style w:type="character" w:customStyle="1" w:styleId="skn-slo6cmn-secparagraphnth-last-child2">
    <w:name w:val="skn-slo6_cmn-sec_paragraph_nth-last-child(2)"/>
    <w:basedOn w:val="DefaultParagraphFont"/>
  </w:style>
  <w:style w:type="character" w:customStyle="1" w:styleId="skn-slo6cmn-secparagraphnth-last-child1">
    <w:name w:val="skn-slo6_cmn-sec_paragraph_nth-last-child(1)"/>
    <w:basedOn w:val="DefaultParagraphFont"/>
  </w:style>
  <w:style w:type="paragraph" w:customStyle="1" w:styleId="skn-slo6parent-containersectionnth-child1">
    <w:name w:val="skn-slo6_parent-container_section_nth-child(1)"/>
    <w:basedOn w:val="Normal"/>
    <w:pPr>
      <w:pBdr>
        <w:top w:val="none" w:sz="0" w:space="0" w:color="auto"/>
        <w:left w:val="none" w:sz="0" w:space="0" w:color="auto"/>
        <w:bottom w:val="none" w:sz="0" w:space="0" w:color="auto"/>
        <w:right w:val="none" w:sz="0" w:space="0" w:color="auto"/>
      </w:pBdr>
    </w:pPr>
  </w:style>
  <w:style w:type="character" w:customStyle="1" w:styleId="skn-slo6parent-containersectionnth-child1Character">
    <w:name w:val="skn-slo6_parent-container_section_nth-child(1) Character"/>
    <w:basedOn w:val="DefaultParagraphFont"/>
  </w:style>
  <w:style w:type="character" w:customStyle="1" w:styleId="skn-slo6tbl-inner">
    <w:name w:val="skn-slo6_tbl-inner"/>
    <w:basedOn w:val="DefaultParagraphFont"/>
  </w:style>
  <w:style w:type="paragraph" w:customStyle="1" w:styleId="skn-slo6disp-block">
    <w:name w:val="skn-slo6_disp-block"/>
    <w:basedOn w:val="Normal"/>
  </w:style>
  <w:style w:type="character" w:customStyle="1" w:styleId="skn-slo6txt-nrml">
    <w:name w:val="skn-slo6_txt-nrml"/>
    <w:basedOn w:val="DefaultParagraphFont"/>
    <w:rPr>
      <w:b w:val="0"/>
      <w:bCs w:val="0"/>
    </w:rPr>
  </w:style>
  <w:style w:type="character" w:customStyle="1" w:styleId="skn-slo6tbl-innertbl-inner">
    <w:name w:val="skn-slo6_tbl-inner + tbl-inner"/>
    <w:basedOn w:val="DefaultParagraphFont"/>
  </w:style>
  <w:style w:type="character" w:customStyle="1" w:styleId="skn-slo6txt-capsCharacter">
    <w:name w:val="skn-slo6_txt-caps Character"/>
    <w:basedOn w:val="DefaultParagraphFont"/>
    <w:rPr>
      <w:caps/>
    </w:rPr>
  </w:style>
  <w:style w:type="paragraph" w:customStyle="1" w:styleId="skn-slo6jobyear">
    <w:name w:val="skn-slo6_jobyear"/>
    <w:basedOn w:val="Normal"/>
    <w:pPr>
      <w:pBdr>
        <w:top w:val="none" w:sz="0" w:space="2" w:color="auto"/>
      </w:pBdr>
    </w:pPr>
    <w:rPr>
      <w:b w:val="0"/>
      <w:bCs w:val="0"/>
      <w:i/>
      <w:iCs/>
    </w:rPr>
  </w:style>
  <w:style w:type="table" w:customStyle="1" w:styleId="skn-slo6disp-blockTable">
    <w:name w:val="skn-slo6_disp-block Table"/>
    <w:basedOn w:val="TableNormal"/>
    <w:tblPr/>
  </w:style>
  <w:style w:type="paragraph" w:customStyle="1" w:styleId="ulli">
    <w:name w:val="ul_li"/>
    <w:basedOn w:val="Normal"/>
    <w:pPr>
      <w:pBdr>
        <w:left w:val="none" w:sz="0" w:space="8" w:color="auto"/>
        <w:bottom w:val="none" w:sz="0" w:space="3" w:color="auto"/>
      </w:pBdr>
    </w:pPr>
  </w:style>
  <w:style w:type="paragraph" w:customStyle="1" w:styleId="ullinth-last-child1">
    <w:name w:val="ul_li_nth-last-child(1)"/>
    <w:basedOn w:val="Normal"/>
    <w:pPr>
      <w:pBdr>
        <w:bottom w:val="none" w:sz="0" w:space="0" w:color="auto"/>
      </w:pBdr>
    </w:pPr>
  </w:style>
  <w:style w:type="paragraph" w:customStyle="1" w:styleId="skn-slo6paragraph">
    <w:name w:val="skn-slo6_paragraph"/>
    <w:basedOn w:val="Normal"/>
  </w:style>
  <w:style w:type="character" w:customStyle="1" w:styleId="divCharacter">
    <w:name w:val="div Character"/>
    <w:basedOn w:val="DefaultParagraphFont"/>
    <w:rPr>
      <w:bdr w:val="none" w:sz="0" w:space="0" w:color="auto"/>
      <w:vertAlign w:val="baseline"/>
    </w:rPr>
  </w:style>
  <w:style w:type="character" w:customStyle="1" w:styleId="skn-slo6txt-bold">
    <w:name w:val="skn-slo6_txt-bold"/>
    <w:basedOn w:val="DefaultParagraphFont"/>
    <w:rPr>
      <w:b/>
      <w:bCs/>
    </w:rPr>
  </w:style>
  <w:style w:type="character" w:customStyle="1" w:styleId="skn-slo6sectionjobdate">
    <w:name w:val="skn-slo6_section_jobdate"/>
    <w:basedOn w:val="DefaultParagraphFont"/>
  </w:style>
  <w:style w:type="character" w:customStyle="1" w:styleId="skn-slo6txt-itlCharacter">
    <w:name w:val="skn-slo6_txt-itl Character"/>
    <w:basedOn w:val="DefaultParagraphFont"/>
    <w:rPr>
      <w:i/>
      <w:iCs/>
    </w:rPr>
  </w:style>
  <w:style w:type="paragraph" w:customStyle="1" w:styleId="skn-slo6sectionreference-secrefparatable">
    <w:name w:val="skn-slo6_section_reference-sec_refparatable"/>
    <w:basedOn w:val="Normal"/>
  </w:style>
  <w:style w:type="paragraph" w:customStyle="1" w:styleId="skn-slo6sectionreference-secparagraphupon-req-para">
    <w:name w:val="skn-slo6_section_reference-sec_paragraph_upon-req-para"/>
    <w:basedOn w:val="Normal"/>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Praveen Malhotra</dc:title>
  <cp:revision>0</cp:revision>
</cp:coreProperties>
</file>