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6top-left-box"/>
        <w:tblW w:w="0" w:type="auto"/>
        <w:tblCellSpacing w:w="0" w:type="dxa"/>
        <w:tblBorders>
          <w:bottom w:val="single" w:sz="8" w:space="0" w:color="7851A9"/>
        </w:tblBorders>
        <w:tblLayout w:type="fixed"/>
        <w:tblCellMar>
          <w:top w:w="0" w:type="dxa"/>
          <w:left w:w="0" w:type="dxa"/>
          <w:bottom w:w="0" w:type="dxa"/>
          <w:right w:w="0" w:type="dxa"/>
        </w:tblCellMar>
        <w:tblLook w:val="05E0"/>
      </w:tblPr>
      <w:tblGrid>
        <w:gridCol w:w="10520"/>
      </w:tblGrid>
      <w:tr>
        <w:tblPrEx>
          <w:tblW w:w="0" w:type="auto"/>
          <w:tblCellSpacing w:w="0" w:type="dxa"/>
          <w:tblBorders>
            <w:bottom w:val="single" w:sz="8" w:space="0" w:color="7851A9"/>
          </w:tblBorders>
          <w:tblLayout w:type="fixed"/>
          <w:tblCellMar>
            <w:top w:w="0" w:type="dxa"/>
            <w:left w:w="0" w:type="dxa"/>
            <w:bottom w:w="0" w:type="dxa"/>
            <w:right w:w="0" w:type="dxa"/>
          </w:tblCellMar>
          <w:tblLook w:val="05E0"/>
        </w:tblPrEx>
        <w:trPr>
          <w:tblCellSpacing w:w="0" w:type="dxa"/>
        </w:trPr>
        <w:tc>
          <w:tcPr>
            <w:tcW w:w="10520" w:type="dxa"/>
            <w:tcMar>
              <w:top w:w="0" w:type="dxa"/>
              <w:left w:w="0" w:type="dxa"/>
              <w:bottom w:w="0" w:type="dxa"/>
              <w:right w:w="0" w:type="dxa"/>
            </w:tcMar>
            <w:vAlign w:val="top"/>
            <w:hideMark/>
          </w:tcPr>
          <w:p>
            <w:pPr>
              <w:pStyle w:val="skn-slo6name"/>
              <w:pBdr>
                <w:top w:val="none" w:sz="0" w:space="0" w:color="auto"/>
                <w:left w:val="none" w:sz="0" w:space="0" w:color="auto"/>
                <w:bottom w:val="none" w:sz="0" w:space="0" w:color="auto"/>
                <w:right w:val="none" w:sz="0" w:space="0" w:color="auto"/>
              </w:pBdr>
              <w:spacing w:before="0" w:after="0"/>
              <w:ind w:left="0" w:right="0"/>
              <w:jc w:val="center"/>
              <w:rPr>
                <w:rStyle w:val="skn-slo6name-sec"/>
                <w:rFonts w:ascii="Open Sans" w:eastAsia="Open Sans" w:hAnsi="Open Sans" w:cs="Open Sans"/>
                <w:b/>
                <w:bCs/>
                <w:color w:val="7851A9"/>
                <w:sz w:val="48"/>
                <w:szCs w:val="48"/>
                <w:bdr w:val="none" w:sz="0" w:space="0" w:color="auto"/>
                <w:vertAlign w:val="baseline"/>
              </w:rPr>
            </w:pPr>
            <w:r>
              <w:rPr>
                <w:rStyle w:val="span"/>
                <w:rFonts w:ascii="Open Sans" w:eastAsia="Open Sans" w:hAnsi="Open Sans" w:cs="Open Sans"/>
                <w:b/>
                <w:bCs/>
              </w:rPr>
              <w:t>Karthik</w:t>
            </w:r>
            <w:r>
              <w:rPr>
                <w:rStyle w:val="skn-slo6name-sec"/>
                <w:rFonts w:ascii="Open Sans" w:eastAsia="Open Sans" w:hAnsi="Open Sans" w:cs="Open Sans"/>
                <w:b/>
                <w:bCs/>
                <w:bdr w:val="none" w:sz="0" w:space="0" w:color="auto"/>
                <w:vertAlign w:val="baseline"/>
              </w:rPr>
              <w:t xml:space="preserve"> </w:t>
            </w:r>
            <w:r>
              <w:rPr>
                <w:rStyle w:val="span"/>
                <w:rFonts w:ascii="Open Sans" w:eastAsia="Open Sans" w:hAnsi="Open Sans" w:cs="Open Sans"/>
                <w:b/>
                <w:bCs/>
              </w:rPr>
              <w:t>Ramanathan</w:t>
            </w:r>
          </w:p>
          <w:p>
            <w:pPr>
              <w:pStyle w:val="skn-slo6txt-caps"/>
              <w:pBdr>
                <w:top w:val="none" w:sz="0" w:space="0" w:color="auto"/>
                <w:left w:val="none" w:sz="0" w:space="0" w:color="auto"/>
                <w:bottom w:val="none" w:sz="0" w:space="0" w:color="auto"/>
                <w:right w:val="none" w:sz="0" w:space="0" w:color="auto"/>
              </w:pBdr>
              <w:spacing w:before="40" w:after="0" w:line="300" w:lineRule="atLeast"/>
              <w:ind w:left="0" w:right="0"/>
              <w:jc w:val="center"/>
              <w:rPr>
                <w:rStyle w:val="skn-slo6name-sec"/>
                <w:rFonts w:ascii="Open Sans" w:eastAsia="Open Sans" w:hAnsi="Open Sans" w:cs="Open Sans"/>
                <w:b/>
                <w:bCs/>
                <w:caps/>
                <w:color w:val="050505"/>
                <w:bdr w:val="none" w:sz="0" w:space="0" w:color="auto"/>
                <w:vertAlign w:val="baseline"/>
              </w:rPr>
            </w:pPr>
            <w:r>
              <w:rPr>
                <w:rStyle w:val="span"/>
                <w:rFonts w:ascii="Open Sans" w:eastAsia="Open Sans" w:hAnsi="Open Sans" w:cs="Open Sans"/>
                <w:b/>
                <w:bCs/>
                <w:caps/>
                <w:color w:val="050505"/>
              </w:rPr>
              <w:t>Business Intelligence Architect</w:t>
            </w:r>
          </w:p>
          <w:p>
            <w:pPr>
              <w:pStyle w:val="namePictPara"/>
              <w:pBdr>
                <w:top w:val="none" w:sz="0" w:space="0" w:color="auto"/>
                <w:left w:val="none" w:sz="0" w:space="0" w:color="auto"/>
                <w:bottom w:val="none" w:sz="0" w:space="13" w:color="auto"/>
                <w:right w:val="none" w:sz="0" w:space="0" w:color="auto"/>
              </w:pBdr>
              <w:spacing w:before="0" w:after="0" w:line="20" w:lineRule="exact"/>
              <w:ind w:left="0" w:right="0"/>
              <w:jc w:val="center"/>
              <w:rPr>
                <w:rStyle w:val="skn-slo6name-sec"/>
                <w:rFonts w:ascii="Open Sans" w:eastAsia="Open Sans" w:hAnsi="Open Sans" w:cs="Open Sans"/>
                <w:b w:val="0"/>
                <w:bCs w:val="0"/>
                <w:color w:val="050505"/>
                <w:sz w:val="20"/>
                <w:szCs w:val="20"/>
                <w:bdr w:val="none" w:sz="0" w:space="0" w:color="auto"/>
                <w:vertAlign w:val="baseline"/>
              </w:rPr>
            </w:pPr>
          </w:p>
          <w:p>
            <w:pPr>
              <w:pStyle w:val="skn-slo6firstparagraph"/>
              <w:pBdr>
                <w:top w:val="none" w:sz="0" w:space="0" w:color="auto"/>
                <w:left w:val="none" w:sz="0" w:space="0" w:color="auto"/>
                <w:bottom w:val="none" w:sz="0" w:space="0" w:color="auto"/>
                <w:right w:val="none" w:sz="0" w:space="0" w:color="auto"/>
              </w:pBdr>
              <w:spacing w:after="0" w:line="14" w:lineRule="atLeast"/>
              <w:ind w:left="0" w:right="0"/>
              <w:jc w:val="center"/>
              <w:textAlignment w:val="auto"/>
              <w:rPr>
                <w:rStyle w:val="skn-slo6firstparagraphCharacter"/>
                <w:rFonts w:ascii="Open Sans" w:eastAsia="Open Sans" w:hAnsi="Open Sans" w:cs="Open Sans"/>
                <w:b w:val="0"/>
                <w:bCs w:val="0"/>
                <w:color w:val="050505"/>
                <w:sz w:val="1"/>
                <w:szCs w:val="1"/>
                <w:bdr w:val="none" w:sz="0" w:space="0" w:color="auto"/>
                <w:vertAlign w:val="baseline"/>
              </w:rPr>
            </w:pPr>
          </w:p>
        </w:tc>
      </w:tr>
    </w:tbl>
    <w:tbl>
      <w:tblPr>
        <w:tblW w:w="10520" w:type="dxa"/>
        <w:jc w:val="left"/>
        <w:tblInd w:w="0" w:type="dxa"/>
        <w:tblCellMar>
          <w:left w:w="108" w:type="dxa"/>
          <w:right w:w="108" w:type="dxa"/>
        </w:tblCellMar>
      </w:tblPr>
      <w:tblGrid>
        <w:gridCol w:w="3507"/>
        <w:gridCol w:w="3507"/>
        <w:gridCol w:w="3507"/>
      </w:tblGrid>
      <w:tr>
        <w:tblPrEx>
          <w:tblW w:w="10520" w:type="dxa"/>
          <w:jc w:val="left"/>
          <w:tblInd w:w="0" w:type="dxa"/>
          <w:tblCellMar>
            <w:left w:w="108" w:type="dxa"/>
            <w:right w:w="108" w:type="dxa"/>
          </w:tblCellMar>
        </w:tblPrEx>
        <w:trPr>
          <w:jc w:val="left"/>
        </w:trPr>
        <w:tc>
          <w:tcPr>
            <w:tcW w:w="3507" w:type="dxa"/>
            <w:tcMar>
              <w:top w:w="400" w:type="dxa"/>
              <w:left w:w="0" w:type="dxa"/>
            </w:tcMar>
            <w:vAlign w:val="center"/>
          </w:tcPr>
          <w:p>
            <w:pPr>
              <w:pStyle w:val="skn-slo6addressaddr-details"/>
              <w:pBdr>
                <w:top w:val="none" w:sz="0" w:space="0" w:color="auto"/>
                <w:left w:val="none" w:sz="0" w:space="0" w:color="auto"/>
                <w:bottom w:val="none" w:sz="0" w:space="0" w:color="auto"/>
                <w:right w:val="none" w:sz="0" w:space="0" w:color="auto"/>
              </w:pBdr>
              <w:tabs>
                <w:tab w:val="left" w:pos="0"/>
              </w:tabs>
              <w:spacing w:before="0" w:after="8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+91 98765 43210</w:t>
            </w:r>
          </w:p>
        </w:tc>
        <w:tc>
          <w:tcPr>
            <w:tcW w:w="3507" w:type="dxa"/>
            <w:tcMar>
              <w:top w:w="400" w:type="dxa"/>
              <w:left w:w="0" w:type="dxa"/>
            </w:tcMar>
            <w:vAlign w:val="center"/>
          </w:tcPr>
          <w:p>
            <w:pPr>
              <w:pStyle w:val="skn-slo6addressaddr-detailsnth-last-child3"/>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karthik.ramanathan@example.com</w:t>
            </w:r>
          </w:p>
        </w:tc>
        <w:tc>
          <w:tcPr>
            <w:tcW w:w="3507" w:type="dxa"/>
            <w:tcMar>
              <w:top w:w="400" w:type="dxa"/>
              <w:left w:w="0" w:type="dxa"/>
            </w:tcMar>
            <w:vAlign w:val="center"/>
          </w:tcPr>
          <w:p>
            <w:pPr>
              <w:pStyle w:val="skn-slo6addressaddr-detailsnth-last-child2"/>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Chennai</w:t>
            </w:r>
            <w:r>
              <w:rPr>
                <w:rStyle w:val="span"/>
                <w:rFonts w:ascii="Open Sans" w:eastAsia="Open Sans" w:hAnsi="Open Sans" w:cs="Open Sans"/>
                <w:b w:val="0"/>
                <w:bCs w:val="0"/>
                <w:color w:val="050505"/>
                <w:sz w:val="20"/>
                <w:szCs w:val="20"/>
              </w:rPr>
              <w:t>,</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Tamil Nadu</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600042</w:t>
            </w:r>
          </w:p>
        </w:tc>
      </w:tr>
      <w:tr>
        <w:tblPrEx>
          <w:tblW w:w="10520" w:type="dxa"/>
          <w:jc w:val="left"/>
          <w:tblInd w:w="0" w:type="dxa"/>
          <w:tblCellMar>
            <w:left w:w="108" w:type="dxa"/>
            <w:right w:w="108" w:type="dxa"/>
          </w:tblCellMar>
        </w:tblPrEx>
        <w:trPr>
          <w:jc w:val="left"/>
        </w:trPr>
        <w:tc>
          <w:tcPr>
            <w:tcW w:w="3507" w:type="dxa"/>
            <w:tcMar>
              <w:left w:w="0" w:type="dxa"/>
              <w:bottom w:w="400" w:type="dxa"/>
            </w:tcMar>
            <w:vAlign w:val="center"/>
          </w:tcPr>
          <w:p>
            <w:pPr>
              <w:pStyle w:val="skn-slo6addressaddr-detailsnth-last-child1"/>
              <w:pBdr>
                <w:top w:val="none" w:sz="0" w:space="0" w:color="auto"/>
                <w:left w:val="none" w:sz="0" w:space="0" w:color="auto"/>
                <w:bottom w:val="none" w:sz="0" w:space="0" w:color="auto"/>
                <w:right w:val="none" w:sz="0" w:space="0" w:color="auto"/>
              </w:pBdr>
              <w:tabs>
                <w:tab w:val="left" w:pos="0"/>
              </w:tabs>
              <w:spacing w:before="0" w:after="0"/>
              <w:ind w:left="0" w:right="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11 February 1987</w:t>
            </w:r>
          </w:p>
        </w:tc>
        <w:tc>
          <w:tcPr>
            <w:tcW w:w="3507" w:type="dxa"/>
            <w:tcMar>
              <w:left w:w="0" w:type="dxa"/>
            </w:tcMar>
            <w:vAlign w:val="center"/>
          </w:tcPr>
          <w:p>
            <w:pPr>
              <w:jc w:val="center"/>
            </w:pPr>
          </w:p>
        </w:tc>
        <w:tc>
          <w:tcPr>
            <w:tcW w:w="3507" w:type="dxa"/>
            <w:tcMar>
              <w:left w:w="0" w:type="dxa"/>
            </w:tcMar>
            <w:vAlign w:val="center"/>
          </w:tcPr>
          <w:p>
            <w:pPr>
              <w:jc w:val="center"/>
            </w:pPr>
          </w:p>
        </w:tc>
      </w:tr>
    </w:tbl>
    <w:p>
      <w:pPr>
        <w:pStyle w:val="brdr"/>
        <w:pBdr>
          <w:top w:val="single" w:sz="8" w:space="0" w:color="050505"/>
          <w:left w:val="none" w:sz="0" w:space="0" w:color="auto"/>
          <w:bottom w:val="none" w:sz="0" w:space="0" w:color="auto"/>
          <w:right w:val="none" w:sz="0" w:space="0" w:color="auto"/>
        </w:pBdr>
        <w:spacing w:before="0" w:after="500"/>
        <w:ind w:left="0" w:right="0"/>
        <w:jc w:val="center"/>
        <w:rPr>
          <w:rFonts w:ascii="Open Sans" w:eastAsia="Open Sans" w:hAnsi="Open Sans" w:cs="Open Sans"/>
          <w:b w:val="0"/>
          <w:bCs w:val="0"/>
          <w:color w:val="050505"/>
          <w:sz w:val="2"/>
          <w:szCs w:val="2"/>
          <w:bdr w:val="none" w:sz="0" w:space="0" w:color="auto"/>
          <w:vertAlign w:val="baseline"/>
        </w:rPr>
      </w:pPr>
      <w:r>
        <w:rPr>
          <w:rFonts w:ascii="Open Sans" w:eastAsia="Open Sans" w:hAnsi="Open Sans" w:cs="Open Sans"/>
          <w:b w:val="0"/>
          <w:bCs w:val="0"/>
          <w:color w:val="050505"/>
          <w:bdr w:val="none" w:sz="0" w:space="0" w:color="auto"/>
          <w:vertAlign w:val="baseline"/>
        </w:rPr>
        <w:t> </w:t>
      </w:r>
    </w:p>
    <w:p>
      <w:pPr>
        <w:pStyle w:val="firstparagraphparaSpacing"/>
        <w:pBdr>
          <w:top w:val="none" w:sz="0" w:space="0" w:color="auto"/>
          <w:left w:val="none" w:sz="0" w:space="0" w:color="auto"/>
          <w:bottom w:val="none" w:sz="0" w:space="0" w:color="auto"/>
          <w:right w:val="none" w:sz="0" w:space="0" w:color="auto"/>
        </w:pBdr>
        <w:spacing w:before="500" w:after="0"/>
        <w:ind w:left="0" w:right="0"/>
        <w:jc w:val="center"/>
        <w:rPr>
          <w:rFonts w:ascii="Open Sans" w:eastAsia="Open Sans" w:hAnsi="Open Sans" w:cs="Open Sans"/>
          <w:b w:val="0"/>
          <w:bCs w:val="0"/>
          <w:i/>
          <w:iCs/>
          <w:vanish/>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ind w:left="0" w:right="0"/>
        <w:jc w:val="center"/>
        <w:rPr>
          <w:rFonts w:ascii="Open Sans" w:eastAsia="Open Sans" w:hAnsi="Open Sans" w:cs="Open Sans"/>
          <w:b w:val="0"/>
          <w:bCs w:val="0"/>
          <w:i/>
          <w:iCs/>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Strategic Business Intelligence Architect with extensive experience in designing scalable BI architecture and data governance frameworks. Skilled in data warehouse modeling, ETL architecture, and optimizing SQL performance for cloud data platforms. Eager to leverage expertise in BI solutions and stakeholder collaboration to drive impactful analytics in a forward-thinking organization.</w:t>
      </w:r>
    </w:p>
    <w:p>
      <w:pPr>
        <w:pStyle w:val="skn-slo6sectiontitle"/>
        <w:pBdr>
          <w:top w:val="none" w:sz="0" w:space="0" w:color="auto"/>
          <w:left w:val="none" w:sz="0" w:space="0" w:color="auto"/>
          <w:bottom w:val="single" w:sz="8" w:space="0" w:color="7851A9"/>
          <w:right w:val="none" w:sz="0" w:space="0" w:color="auto"/>
        </w:pBdr>
        <w:spacing w:before="500" w:after="0"/>
        <w:ind w:left="0" w:right="0"/>
        <w:rPr>
          <w:rFonts w:ascii="Open Sans" w:eastAsia="Open Sans" w:hAnsi="Open Sans" w:cs="Open Sans"/>
          <w:b/>
          <w:bCs/>
          <w:caps/>
          <w:color w:val="7851A9"/>
          <w:bdr w:val="none" w:sz="0" w:space="0" w:color="auto"/>
          <w:vertAlign w:val="baseline"/>
        </w:rPr>
      </w:pPr>
      <w:r>
        <w:rPr>
          <w:rFonts w:ascii="Open Sans" w:eastAsia="Open Sans" w:hAnsi="Open Sans" w:cs="Open Sans"/>
          <w:bdr w:val="none" w:sz="0" w:space="0" w:color="auto"/>
          <w:vertAlign w:val="baseline"/>
        </w:rPr>
        <w:t>Skills</w:t>
      </w:r>
    </w:p>
    <w:p>
      <w:pPr>
        <w:pStyle w:val="div"/>
        <w:pBdr>
          <w:top w:val="none" w:sz="0" w:space="0" w:color="auto"/>
          <w:left w:val="none" w:sz="0" w:space="0" w:color="auto"/>
          <w:bottom w:val="single" w:sz="8" w:space="0" w:color="7851A9"/>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BI Architecture Design</w:t>
            </w:r>
          </w:p>
        </w:tc>
        <w:tc>
          <w:tcPr>
            <w:tcW w:w="5260" w:type="dxa"/>
            <w:tcMar>
              <w:left w:w="0" w:type="dxa"/>
            </w:tcMar>
            <w:vAlign w:val="top"/>
          </w:tcPr>
          <w:p>
            <w:pPr>
              <w:pStyle w:val="skn-slo6cmn-secparagraphany"/>
              <w:numPr>
                <w:ilvl w:val="0"/>
                <w:numId w:val="2"/>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Data Warehouse Modeling</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3"/>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ETL Architecture</w:t>
            </w:r>
          </w:p>
        </w:tc>
        <w:tc>
          <w:tcPr>
            <w:tcW w:w="5260" w:type="dxa"/>
            <w:tcMar>
              <w:left w:w="0" w:type="dxa"/>
            </w:tcMar>
            <w:vAlign w:val="top"/>
          </w:tcPr>
          <w:p>
            <w:pPr>
              <w:pStyle w:val="skn-slo6cmn-secparagraphany"/>
              <w:numPr>
                <w:ilvl w:val="0"/>
                <w:numId w:val="4"/>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Power BI Enterprise Setup</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5"/>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SQL Performance Tuning</w:t>
            </w:r>
          </w:p>
        </w:tc>
        <w:tc>
          <w:tcPr>
            <w:tcW w:w="5260" w:type="dxa"/>
            <w:tcMar>
              <w:left w:w="0" w:type="dxa"/>
            </w:tcMar>
            <w:vAlign w:val="top"/>
          </w:tcPr>
          <w:p>
            <w:pPr>
              <w:pStyle w:val="skn-slo6cmn-secparagraphany"/>
              <w:numPr>
                <w:ilvl w:val="0"/>
                <w:numId w:val="6"/>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Data Governance</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7"/>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Metadata Management</w:t>
            </w:r>
          </w:p>
        </w:tc>
        <w:tc>
          <w:tcPr>
            <w:tcW w:w="5260" w:type="dxa"/>
            <w:tcMar>
              <w:left w:w="0" w:type="dxa"/>
            </w:tcMar>
            <w:vAlign w:val="top"/>
          </w:tcPr>
          <w:p>
            <w:pPr>
              <w:pStyle w:val="skn-slo6cmn-secparagraphany"/>
              <w:numPr>
                <w:ilvl w:val="0"/>
                <w:numId w:val="8"/>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Reporting Framework Design</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9"/>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Cloud Data Platforms</w:t>
            </w:r>
          </w:p>
        </w:tc>
        <w:tc>
          <w:tcPr>
            <w:tcW w:w="5260" w:type="dxa"/>
            <w:tcMar>
              <w:left w:w="0" w:type="dxa"/>
            </w:tcMar>
            <w:vAlign w:val="top"/>
          </w:tcPr>
          <w:p>
            <w:pPr>
              <w:pStyle w:val="skn-slo6cmn-secparagraphany"/>
              <w:numPr>
                <w:ilvl w:val="0"/>
                <w:numId w:val="10"/>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Stakeholder Collaboration</w:t>
            </w:r>
          </w:p>
        </w:tc>
      </w:tr>
    </w:tbl>
    <w:p>
      <w:pPr>
        <w:pStyle w:val="skn-slo6parent-containersectionnth-child1"/>
        <w:pBdr>
          <w:top w:val="none" w:sz="0" w:space="0" w:color="auto"/>
          <w:left w:val="none" w:sz="0" w:space="0" w:color="auto"/>
          <w:bottom w:val="none" w:sz="0" w:space="0" w:color="auto"/>
          <w:right w:val="none" w:sz="0" w:space="0" w:color="auto"/>
        </w:pBdr>
        <w:spacing w:before="0" w:line="500" w:lineRule="exact"/>
        <w:ind w:left="0" w:right="0"/>
        <w:rPr>
          <w:rFonts w:ascii="Open Sans" w:eastAsia="Open Sans" w:hAnsi="Open Sans" w:cs="Open Sans"/>
          <w:b w:val="0"/>
          <w:bCs w:val="0"/>
          <w:color w:val="050505"/>
          <w:sz w:val="20"/>
          <w:szCs w:val="20"/>
          <w:bdr w:val="none" w:sz="0" w:space="0" w:color="auto"/>
          <w:vertAlign w:val="baseline"/>
        </w:rPr>
      </w:pPr>
    </w:p>
    <w:p>
      <w:pPr>
        <w:pStyle w:val="skn-slo6sectiontitle"/>
        <w:pBdr>
          <w:top w:val="none" w:sz="0" w:space="0" w:color="auto"/>
          <w:left w:val="none" w:sz="0" w:space="0" w:color="auto"/>
          <w:bottom w:val="single" w:sz="8" w:space="0" w:color="7851A9"/>
          <w:right w:val="none" w:sz="0" w:space="0" w:color="auto"/>
        </w:pBdr>
        <w:spacing w:before="0" w:after="0"/>
        <w:ind w:left="0" w:right="0"/>
        <w:rPr>
          <w:rFonts w:ascii="Open Sans" w:eastAsia="Open Sans" w:hAnsi="Open Sans" w:cs="Open Sans"/>
          <w:b/>
          <w:bCs/>
          <w:caps/>
          <w:color w:val="7851A9"/>
          <w:bdr w:val="none" w:sz="0" w:space="0" w:color="auto"/>
          <w:vertAlign w:val="baseline"/>
        </w:rPr>
      </w:pPr>
      <w:r>
        <w:rPr>
          <w:rFonts w:ascii="Open Sans" w:eastAsia="Open Sans" w:hAnsi="Open Sans" w:cs="Open Sans"/>
          <w:bdr w:val="none" w:sz="0" w:space="0" w:color="auto"/>
          <w:vertAlign w:val="baseline"/>
        </w:rPr>
        <w:t>Experience</w:t>
      </w:r>
    </w:p>
    <w:p>
      <w:pPr>
        <w:pStyle w:val="div"/>
        <w:pBdr>
          <w:top w:val="none" w:sz="0" w:space="0" w:color="auto"/>
          <w:left w:val="none" w:sz="0" w:space="0" w:color="auto"/>
          <w:bottom w:val="single" w:sz="8" w:space="0" w:color="7851A9"/>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Business Intelligence Architect</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HCL Technologies</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Chennai</w:t>
            </w:r>
            <w:r>
              <w:rPr>
                <w:rStyle w:val="span"/>
                <w:rFonts w:ascii="Open Sans" w:eastAsia="Open Sans" w:hAnsi="Open Sans" w:cs="Open Sans"/>
                <w:b/>
                <w:bCs/>
                <w:color w:val="050505"/>
                <w:sz w:val="20"/>
                <w:szCs w:val="20"/>
              </w:rPr>
              <w:t xml:space="preserve">, </w:t>
            </w:r>
            <w:r>
              <w:rPr>
                <w:rStyle w:val="skn-slo6txt-capsCharacter"/>
                <w:rFonts w:ascii="Open Sans" w:eastAsia="Open Sans" w:hAnsi="Open Sans" w:cs="Open Sans"/>
                <w:b/>
                <w:bCs/>
                <w:caps/>
                <w:color w:val="050505"/>
                <w:sz w:val="20"/>
                <w:szCs w:val="20"/>
              </w:rPr>
              <w:t>Tamil Nadu</w:t>
            </w:r>
            <w:r>
              <w:rPr>
                <w:rStyle w:val="skn-slo6tbl-innertbl-inner"/>
                <w:rFonts w:ascii="Open Sans" w:eastAsia="Open Sans" w:hAnsi="Open Sans" w:cs="Open Sans"/>
                <w:b/>
                <w:bCs/>
                <w:color w:val="050505"/>
                <w:sz w:val="20"/>
                <w:szCs w:val="20"/>
                <w:bdr w:val="none" w:sz="0" w:space="0" w:color="auto"/>
                <w:vertAlign w:val="baseline"/>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March 2021</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Present</w:t>
            </w:r>
          </w:p>
        </w:tc>
      </w:tr>
    </w:tbl>
    <w:p>
      <w:pPr>
        <w:pStyle w:val="ulli"/>
        <w:numPr>
          <w:ilvl w:val="0"/>
          <w:numId w:val="11"/>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Designed enterprise BI architecture supporting multiple business units with standardized data models and reporting layers.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Defined data warehouse schemas to support scalable analytics and historical trend analysis across functions.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Led ETL architecture planning to ensure efficient data ingestion, validation, and transformation processes.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Established BI governance standards covering security, access control, and dashboard lifecycle management.</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Collaborated with cloud and infrastructure teams to deploy BI platforms on scalable cloud environments.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Reviewed SQL and semantic models to improve query performance and reduce reporting latency.</w:t>
      </w:r>
    </w:p>
    <w:p>
      <w:pPr>
        <w:pStyle w:val="ullinth-last-child1"/>
        <w:numPr>
          <w:ilvl w:val="0"/>
          <w:numId w:val="11"/>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Guided BI developers and analysts on architecture best practices and reusable design patterns.</w:t>
      </w:r>
    </w:p>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Senior Business Intelligence Developer</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Tech Mahindra</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Bengaluru</w:t>
            </w:r>
            <w:r>
              <w:rPr>
                <w:rStyle w:val="span"/>
                <w:rFonts w:ascii="Open Sans" w:eastAsia="Open Sans" w:hAnsi="Open Sans" w:cs="Open Sans"/>
                <w:b/>
                <w:bCs/>
                <w:color w:val="050505"/>
                <w:sz w:val="20"/>
                <w:szCs w:val="20"/>
              </w:rPr>
              <w:t xml:space="preserve">, </w:t>
            </w:r>
            <w:r>
              <w:rPr>
                <w:rStyle w:val="skn-slo6txt-capsCharacter"/>
                <w:rFonts w:ascii="Open Sans" w:eastAsia="Open Sans" w:hAnsi="Open Sans" w:cs="Open Sans"/>
                <w:b/>
                <w:bCs/>
                <w:caps/>
                <w:color w:val="050505"/>
                <w:sz w:val="20"/>
                <w:szCs w:val="20"/>
              </w:rPr>
              <w:t>Karnataka</w:t>
            </w:r>
            <w:r>
              <w:rPr>
                <w:rStyle w:val="skn-slo6tbl-innertbl-inner"/>
                <w:rFonts w:ascii="Open Sans" w:eastAsia="Open Sans" w:hAnsi="Open Sans" w:cs="Open Sans"/>
                <w:b/>
                <w:bCs/>
                <w:color w:val="050505"/>
                <w:sz w:val="20"/>
                <w:szCs w:val="20"/>
                <w:bdr w:val="none" w:sz="0" w:space="0" w:color="auto"/>
                <w:vertAlign w:val="baseline"/>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January 2018</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February 2021</w:t>
            </w:r>
          </w:p>
        </w:tc>
      </w:tr>
    </w:tbl>
    <w:p>
      <w:pPr>
        <w:pStyle w:val="ulli"/>
        <w:numPr>
          <w:ilvl w:val="0"/>
          <w:numId w:val="12"/>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Designed and implemented data models for reporting solutions supporting finance, sales, and operations teams.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Led migration of legacy reports to Power BI with improved performance and user experience.</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Coordinated with data engineers to align ETL logic with reporting and analytical requirements.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Defined KPI frameworks and metric calculations aligned with business definitions and reporting standards.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Supported production BI systems by resolving performance issues and data inconsistencies.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Documented architecture diagrams, data flows, and reporting standards for internal reference.</w:t>
      </w:r>
    </w:p>
    <w:p>
      <w:pPr>
        <w:pStyle w:val="ullinth-last-child1"/>
        <w:numPr>
          <w:ilvl w:val="0"/>
          <w:numId w:val="12"/>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Acted as technical mentor for junior BI developers across multiple project teams.</w:t>
      </w:r>
    </w:p>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Business Intelligence Developer</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IBM India Pvt Ltd</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Hyderabad</w:t>
            </w:r>
            <w:r>
              <w:rPr>
                <w:rStyle w:val="span"/>
                <w:rFonts w:ascii="Open Sans" w:eastAsia="Open Sans" w:hAnsi="Open Sans" w:cs="Open Sans"/>
                <w:b/>
                <w:bCs/>
                <w:color w:val="050505"/>
                <w:sz w:val="20"/>
                <w:szCs w:val="20"/>
              </w:rPr>
              <w:t xml:space="preserve">, </w:t>
            </w:r>
            <w:r>
              <w:rPr>
                <w:rStyle w:val="skn-slo6txt-capsCharacter"/>
                <w:rFonts w:ascii="Open Sans" w:eastAsia="Open Sans" w:hAnsi="Open Sans" w:cs="Open Sans"/>
                <w:b/>
                <w:bCs/>
                <w:caps/>
                <w:color w:val="050505"/>
                <w:sz w:val="20"/>
                <w:szCs w:val="20"/>
              </w:rPr>
              <w:t>Telangana</w:t>
            </w:r>
            <w:r>
              <w:rPr>
                <w:rStyle w:val="skn-slo6tbl-innertbl-inner"/>
                <w:rFonts w:ascii="Open Sans" w:eastAsia="Open Sans" w:hAnsi="Open Sans" w:cs="Open Sans"/>
                <w:b/>
                <w:bCs/>
                <w:color w:val="050505"/>
                <w:sz w:val="20"/>
                <w:szCs w:val="20"/>
                <w:bdr w:val="none" w:sz="0" w:space="0" w:color="auto"/>
                <w:vertAlign w:val="baseline"/>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July 2015</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December 2017</w:t>
            </w:r>
          </w:p>
        </w:tc>
      </w:tr>
    </w:tbl>
    <w:p>
      <w:pPr>
        <w:pStyle w:val="ulli"/>
        <w:numPr>
          <w:ilvl w:val="0"/>
          <w:numId w:val="13"/>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Developed SQL-based reports and dashboards for enterprise clients across multiple business domains.</w:t>
      </w:r>
    </w:p>
    <w:p>
      <w:pPr>
        <w:pStyle w:val="ulli"/>
        <w:numPr>
          <w:ilvl w:val="0"/>
          <w:numId w:val="13"/>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Supported data warehouse enhancements including table design, indexing, and partition strategies.</w:t>
      </w:r>
    </w:p>
    <w:p>
      <w:pPr>
        <w:pStyle w:val="ulli"/>
        <w:numPr>
          <w:ilvl w:val="0"/>
          <w:numId w:val="13"/>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Assisted in ETL development and data validation activities to ensure reporting accuracy.</w:t>
      </w:r>
    </w:p>
    <w:p>
      <w:pPr>
        <w:pStyle w:val="ulli"/>
        <w:numPr>
          <w:ilvl w:val="0"/>
          <w:numId w:val="13"/>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Worked closely with business users to gather requirements and clarify reporting expectations.</w:t>
      </w:r>
    </w:p>
    <w:p>
      <w:pPr>
        <w:pStyle w:val="ulli"/>
        <w:numPr>
          <w:ilvl w:val="0"/>
          <w:numId w:val="13"/>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Created reusable reporting components to improve development efficiency and consistency.</w:t>
      </w:r>
    </w:p>
    <w:p>
      <w:pPr>
        <w:pStyle w:val="ulli"/>
        <w:numPr>
          <w:ilvl w:val="0"/>
          <w:numId w:val="13"/>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Participated in performance tuning exercises for complex queries and dashboards.</w:t>
      </w:r>
    </w:p>
    <w:p>
      <w:pPr>
        <w:pStyle w:val="ullinth-last-child1"/>
        <w:numPr>
          <w:ilvl w:val="0"/>
          <w:numId w:val="13"/>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Maintained technical documentation for BI solutions and data sources.</w:t>
      </w:r>
    </w:p>
    <w:p>
      <w:pPr>
        <w:pStyle w:val="skn-slo6sectiontitle"/>
        <w:pBdr>
          <w:top w:val="none" w:sz="0" w:space="0" w:color="auto"/>
          <w:left w:val="none" w:sz="0" w:space="0" w:color="auto"/>
          <w:bottom w:val="single" w:sz="8" w:space="0" w:color="7851A9"/>
          <w:right w:val="none" w:sz="0" w:space="0" w:color="auto"/>
        </w:pBdr>
        <w:spacing w:before="500" w:after="0"/>
        <w:ind w:left="0" w:right="0"/>
        <w:rPr>
          <w:rFonts w:ascii="Open Sans" w:eastAsia="Open Sans" w:hAnsi="Open Sans" w:cs="Open Sans"/>
          <w:b/>
          <w:bCs/>
          <w:caps/>
          <w:color w:val="7851A9"/>
          <w:bdr w:val="none" w:sz="0" w:space="0" w:color="auto"/>
          <w:vertAlign w:val="baseline"/>
        </w:rPr>
      </w:pPr>
      <w:r>
        <w:rPr>
          <w:rFonts w:ascii="Open Sans" w:eastAsia="Open Sans" w:hAnsi="Open Sans" w:cs="Open Sans"/>
          <w:bdr w:val="none" w:sz="0" w:space="0" w:color="auto"/>
          <w:vertAlign w:val="baseline"/>
        </w:rPr>
        <w:t>Education</w:t>
      </w:r>
    </w:p>
    <w:p>
      <w:pPr>
        <w:pStyle w:val="div"/>
        <w:pBdr>
          <w:top w:val="none" w:sz="0" w:space="0" w:color="auto"/>
          <w:left w:val="none" w:sz="0" w:space="0" w:color="auto"/>
          <w:bottom w:val="single" w:sz="8" w:space="0" w:color="7851A9"/>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10th Standard</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PSBB Senior Secondary School</w:t>
            </w:r>
            <w:r>
              <w:rPr>
                <w:rStyle w:val="span"/>
                <w:rFonts w:ascii="Open Sans" w:eastAsia="Open Sans" w:hAnsi="Open Sans" w:cs="Open Sans"/>
                <w:b w:val="0"/>
                <w:bCs w:val="0"/>
                <w:color w:val="050505"/>
                <w:sz w:val="20"/>
                <w:szCs w:val="20"/>
              </w:rPr>
              <w:t xml:space="preserve">, </w:t>
            </w:r>
            <w:r>
              <w:rPr>
                <w:rStyle w:val="skn-slo6txt-capsCharacter"/>
                <w:rFonts w:ascii="Open Sans" w:eastAsia="Open Sans" w:hAnsi="Open Sans" w:cs="Open Sans"/>
                <w:b/>
                <w:bCs/>
                <w:caps/>
                <w:color w:val="050505"/>
                <w:sz w:val="20"/>
                <w:szCs w:val="20"/>
              </w:rPr>
              <w:t>Tamil Nadu</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Mar 2002</w:t>
            </w:r>
            <w:r>
              <w:rPr>
                <w:rStyle w:val="span"/>
                <w:rFonts w:ascii="Open Sans" w:eastAsia="Open Sans" w:hAnsi="Open Sans" w:cs="Open Sans"/>
                <w:b w:val="0"/>
                <w:bCs w:val="0"/>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12th Standard</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PSBB Senior Secondary School</w:t>
            </w:r>
            <w:r>
              <w:rPr>
                <w:rStyle w:val="span"/>
                <w:rFonts w:ascii="Open Sans" w:eastAsia="Open Sans" w:hAnsi="Open Sans" w:cs="Open Sans"/>
                <w:b w:val="0"/>
                <w:bCs w:val="0"/>
                <w:color w:val="050505"/>
                <w:sz w:val="20"/>
                <w:szCs w:val="20"/>
              </w:rPr>
              <w:t xml:space="preserve">, </w:t>
            </w:r>
            <w:r>
              <w:rPr>
                <w:rStyle w:val="skn-slo6txt-capsCharacter"/>
                <w:rFonts w:ascii="Open Sans" w:eastAsia="Open Sans" w:hAnsi="Open Sans" w:cs="Open Sans"/>
                <w:b/>
                <w:bCs/>
                <w:caps/>
                <w:color w:val="050505"/>
                <w:sz w:val="20"/>
                <w:szCs w:val="20"/>
              </w:rPr>
              <w:t>Tamil Nadu</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Mar 2004</w:t>
            </w:r>
            <w:r>
              <w:rPr>
                <w:rStyle w:val="span"/>
                <w:rFonts w:ascii="Open Sans" w:eastAsia="Open Sans" w:hAnsi="Open Sans" w:cs="Open Sans"/>
                <w:b w:val="0"/>
                <w:bCs w:val="0"/>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Bachelor of Engineering</w:t>
            </w:r>
            <w:r>
              <w:rPr>
                <w:rStyle w:val="skn-slo6txt-capsCharacter"/>
                <w:rFonts w:ascii="Open Sans" w:eastAsia="Open Sans" w:hAnsi="Open Sans" w:cs="Open Sans"/>
                <w:b/>
                <w:bCs/>
                <w:caps/>
                <w:color w:val="050505"/>
                <w:sz w:val="20"/>
                <w:szCs w:val="20"/>
              </w:rPr>
              <w:t xml:space="preserve"> in </w:t>
            </w:r>
            <w:r>
              <w:rPr>
                <w:rStyle w:val="skn-slo6txt-capsCharacter"/>
                <w:rFonts w:ascii="Open Sans" w:eastAsia="Open Sans" w:hAnsi="Open Sans" w:cs="Open Sans"/>
                <w:b/>
                <w:bCs/>
                <w:caps/>
                <w:color w:val="050505"/>
                <w:sz w:val="20"/>
                <w:szCs w:val="20"/>
              </w:rPr>
              <w:t>Computer Science</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Anna University</w:t>
            </w:r>
            <w:r>
              <w:rPr>
                <w:rStyle w:val="span"/>
                <w:rFonts w:ascii="Open Sans" w:eastAsia="Open Sans" w:hAnsi="Open Sans" w:cs="Open Sans"/>
                <w:b w:val="0"/>
                <w:bCs w:val="0"/>
                <w:color w:val="050505"/>
                <w:sz w:val="20"/>
                <w:szCs w:val="20"/>
              </w:rPr>
              <w:t xml:space="preserve">, </w:t>
            </w:r>
            <w:r>
              <w:rPr>
                <w:rStyle w:val="skn-slo6txt-capsCharacter"/>
                <w:rFonts w:ascii="Open Sans" w:eastAsia="Open Sans" w:hAnsi="Open Sans" w:cs="Open Sans"/>
                <w:b/>
                <w:bCs/>
                <w:caps/>
                <w:color w:val="050505"/>
                <w:sz w:val="20"/>
                <w:szCs w:val="20"/>
              </w:rPr>
              <w:t>Tamil Nadu</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May 2008</w:t>
            </w:r>
            <w:r>
              <w:rPr>
                <w:rStyle w:val="span"/>
                <w:rFonts w:ascii="Open Sans" w:eastAsia="Open Sans" w:hAnsi="Open Sans" w:cs="Open Sans"/>
                <w:b w:val="0"/>
                <w:bCs w:val="0"/>
                <w:color w:val="050505"/>
                <w:sz w:val="20"/>
                <w:szCs w:val="20"/>
              </w:rPr>
              <w:t xml:space="preserve"> </w:t>
            </w:r>
          </w:p>
        </w:tc>
      </w:tr>
    </w:tbl>
    <w:p>
      <w:pPr>
        <w:pStyle w:val="skn-slo6sectiontitle"/>
        <w:pBdr>
          <w:top w:val="none" w:sz="0" w:space="0" w:color="auto"/>
          <w:left w:val="none" w:sz="0" w:space="0" w:color="auto"/>
          <w:bottom w:val="single" w:sz="8" w:space="0" w:color="7851A9"/>
          <w:right w:val="none" w:sz="0" w:space="0" w:color="auto"/>
        </w:pBdr>
        <w:spacing w:before="500" w:after="0"/>
        <w:ind w:left="0" w:right="0"/>
        <w:rPr>
          <w:rFonts w:ascii="Open Sans" w:eastAsia="Open Sans" w:hAnsi="Open Sans" w:cs="Open Sans"/>
          <w:b/>
          <w:bCs/>
          <w:caps/>
          <w:color w:val="7851A9"/>
          <w:bdr w:val="none" w:sz="0" w:space="0" w:color="auto"/>
          <w:vertAlign w:val="baseline"/>
        </w:rPr>
      </w:pPr>
      <w:r>
        <w:rPr>
          <w:rFonts w:ascii="Open Sans" w:eastAsia="Open Sans" w:hAnsi="Open Sans" w:cs="Open Sans"/>
          <w:bdr w:val="none" w:sz="0" w:space="0" w:color="auto"/>
          <w:vertAlign w:val="baseline"/>
        </w:rPr>
        <w:t>Certifications</w:t>
      </w:r>
    </w:p>
    <w:p>
      <w:pPr>
        <w:pStyle w:val="div"/>
        <w:pBdr>
          <w:top w:val="none" w:sz="0" w:space="0" w:color="auto"/>
          <w:left w:val="none" w:sz="0" w:space="0" w:color="auto"/>
          <w:bottom w:val="single" w:sz="8" w:space="0" w:color="7851A9"/>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4"/>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NASSCOM Certified Data Architecture Professional</w:t>
            </w:r>
          </w:p>
        </w:tc>
        <w:tc>
          <w:tcPr>
            <w:tcW w:w="5260" w:type="dxa"/>
            <w:tcMar>
              <w:left w:w="0" w:type="dxa"/>
            </w:tcMar>
            <w:vAlign w:val="top"/>
          </w:tcPr>
          <w:p>
            <w:pPr>
              <w:pStyle w:val="skn-slo6cmn-secparagraphany"/>
              <w:numPr>
                <w:ilvl w:val="0"/>
                <w:numId w:val="15"/>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IIT Delhi Certification in Data Warehousing and BI Systems</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6"/>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Microsoft Certified: Azure Data Engineer Associate</w:t>
            </w:r>
          </w:p>
        </w:tc>
        <w:tc>
          <w:tcPr>
            <w:tcW w:w="5260" w:type="dxa"/>
            <w:tcMar>
              <w:left w:w="0" w:type="dxa"/>
            </w:tcMar>
            <w:vAlign w:val="top"/>
          </w:tcPr>
          <w:p>
            <w:pPr>
              <w:pStyle w:val="skn-slo6cmn-secparagraphany"/>
              <w:numPr>
                <w:ilvl w:val="0"/>
                <w:numId w:val="17"/>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TOGAF Foundation Certification</w:t>
            </w:r>
          </w:p>
        </w:tc>
      </w:tr>
    </w:tbl>
    <w:p>
      <w:pPr>
        <w:pStyle w:val="skn-slo6sectiontitle"/>
        <w:pBdr>
          <w:top w:val="none" w:sz="0" w:space="0" w:color="auto"/>
          <w:left w:val="none" w:sz="0" w:space="0" w:color="auto"/>
          <w:bottom w:val="single" w:sz="8" w:space="0" w:color="7851A9"/>
          <w:right w:val="none" w:sz="0" w:space="0" w:color="auto"/>
        </w:pBdr>
        <w:spacing w:before="500" w:after="0"/>
        <w:ind w:left="0" w:right="0"/>
        <w:rPr>
          <w:rFonts w:ascii="Open Sans" w:eastAsia="Open Sans" w:hAnsi="Open Sans" w:cs="Open Sans"/>
          <w:b/>
          <w:bCs/>
          <w:caps/>
          <w:color w:val="7851A9"/>
          <w:bdr w:val="none" w:sz="0" w:space="0" w:color="auto"/>
          <w:vertAlign w:val="baseline"/>
        </w:rPr>
      </w:pPr>
      <w:r>
        <w:rPr>
          <w:rFonts w:ascii="Open Sans" w:eastAsia="Open Sans" w:hAnsi="Open Sans" w:cs="Open Sans"/>
          <w:bdr w:val="none" w:sz="0" w:space="0" w:color="auto"/>
          <w:vertAlign w:val="baseline"/>
        </w:rPr>
        <w:t>Projects</w:t>
      </w:r>
    </w:p>
    <w:p>
      <w:pPr>
        <w:pStyle w:val="div"/>
        <w:pBdr>
          <w:top w:val="none" w:sz="0" w:space="0" w:color="auto"/>
          <w:left w:val="none" w:sz="0" w:space="0" w:color="auto"/>
          <w:bottom w:val="single" w:sz="8" w:space="0" w:color="7851A9"/>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skn-slo6singlecolumn"/>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Enterprise BI Modernization Program, Designed centralized BI architecture replacing fragmented reporting systems across finance and operations. Cloud Data Warehouse Implementation, Architected cloud-based data warehouse supporting real-time reporting and scalable analytics workloads.</w:t>
      </w:r>
    </w:p>
    <w:p>
      <w:pPr>
        <w:pStyle w:val="skn-slo6sectiontitle"/>
        <w:pBdr>
          <w:top w:val="none" w:sz="0" w:space="0" w:color="auto"/>
          <w:left w:val="none" w:sz="0" w:space="0" w:color="auto"/>
          <w:bottom w:val="single" w:sz="8" w:space="0" w:color="7851A9"/>
          <w:right w:val="none" w:sz="0" w:space="0" w:color="auto"/>
        </w:pBdr>
        <w:spacing w:before="500" w:after="0"/>
        <w:ind w:left="0" w:right="0"/>
        <w:rPr>
          <w:rFonts w:ascii="Open Sans" w:eastAsia="Open Sans" w:hAnsi="Open Sans" w:cs="Open Sans"/>
          <w:b/>
          <w:bCs/>
          <w:caps/>
          <w:color w:val="7851A9"/>
          <w:bdr w:val="none" w:sz="0" w:space="0" w:color="auto"/>
          <w:vertAlign w:val="baseline"/>
        </w:rPr>
      </w:pPr>
      <w:r>
        <w:rPr>
          <w:rFonts w:ascii="Open Sans" w:eastAsia="Open Sans" w:hAnsi="Open Sans" w:cs="Open Sans"/>
          <w:bdr w:val="none" w:sz="0" w:space="0" w:color="auto"/>
          <w:vertAlign w:val="baseline"/>
        </w:rPr>
        <w:t>Accomplishments</w:t>
      </w:r>
    </w:p>
    <w:p>
      <w:pPr>
        <w:pStyle w:val="div"/>
        <w:pBdr>
          <w:top w:val="none" w:sz="0" w:space="0" w:color="auto"/>
          <w:left w:val="none" w:sz="0" w:space="0" w:color="auto"/>
          <w:bottom w:val="single" w:sz="8" w:space="0" w:color="7851A9"/>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ulli"/>
        <w:numPr>
          <w:ilvl w:val="0"/>
          <w:numId w:val="18"/>
        </w:numPr>
        <w:spacing w:before="160" w:after="10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Led enterprise BI standardization initiative at HCL Technologies, improving reporting consistency across departments.</w:t>
      </w:r>
    </w:p>
    <w:p>
      <w:pPr>
        <w:pStyle w:val="ulli"/>
        <w:numPr>
          <w:ilvl w:val="0"/>
          <w:numId w:val="18"/>
        </w:numPr>
        <w:spacing w:after="10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Successfully migrated legacy BI systems to modern architecture at Tech Mahindra with minimal business disruption.</w:t>
      </w:r>
    </w:p>
    <w:p>
      <w:pPr>
        <w:pStyle w:val="ullinth-last-child1"/>
        <w:numPr>
          <w:ilvl w:val="0"/>
          <w:numId w:val="18"/>
        </w:numPr>
        <w:pBdr>
          <w:left w:val="none" w:sz="0" w:space="8" w:color="auto"/>
        </w:pBdr>
        <w:spacing w:after="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Recognized at IBM India Pvt Ltd for improving query performance through optimized data modeling.</w:t>
      </w:r>
    </w:p>
    <w:p>
      <w:pPr>
        <w:pStyle w:val="skn-slo6sectiontitle"/>
        <w:pBdr>
          <w:top w:val="none" w:sz="0" w:space="0" w:color="auto"/>
          <w:left w:val="none" w:sz="0" w:space="0" w:color="auto"/>
          <w:bottom w:val="single" w:sz="8" w:space="0" w:color="7851A9"/>
          <w:right w:val="none" w:sz="0" w:space="0" w:color="auto"/>
        </w:pBdr>
        <w:spacing w:before="500" w:after="0"/>
        <w:ind w:left="0" w:right="0"/>
        <w:rPr>
          <w:rFonts w:ascii="Open Sans" w:eastAsia="Open Sans" w:hAnsi="Open Sans" w:cs="Open Sans"/>
          <w:b/>
          <w:bCs/>
          <w:caps/>
          <w:color w:val="7851A9"/>
          <w:bdr w:val="none" w:sz="0" w:space="0" w:color="auto"/>
          <w:vertAlign w:val="baseline"/>
        </w:rPr>
      </w:pPr>
      <w:r>
        <w:rPr>
          <w:rFonts w:ascii="Open Sans" w:eastAsia="Open Sans" w:hAnsi="Open Sans" w:cs="Open Sans"/>
          <w:bdr w:val="none" w:sz="0" w:space="0" w:color="auto"/>
          <w:vertAlign w:val="baseline"/>
        </w:rPr>
        <w:t>References</w:t>
      </w:r>
    </w:p>
    <w:p>
      <w:pPr>
        <w:pStyle w:val="div"/>
        <w:pBdr>
          <w:top w:val="none" w:sz="0" w:space="0" w:color="auto"/>
          <w:left w:val="none" w:sz="0" w:space="0" w:color="auto"/>
          <w:bottom w:val="single" w:sz="8" w:space="0" w:color="7851A9"/>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skn-slo6sectionreference-secparagraphupon-req-para"/>
        <w:pBdr>
          <w:top w:val="none" w:sz="0" w:space="0" w:color="auto"/>
          <w:left w:val="none" w:sz="0" w:space="0" w:color="auto"/>
          <w:bottom w:val="none" w:sz="0" w:space="0" w:color="auto"/>
          <w:right w:val="none" w:sz="0" w:space="0" w:color="auto"/>
        </w:pBdr>
        <w:spacing w:before="0" w:after="0"/>
        <w:ind w:left="0" w:right="0"/>
        <w:textAlignment w:val="top"/>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References available upon request</w:t>
      </w:r>
    </w:p>
    <w:sectPr>
      <w:headerReference w:type="default" r:id="rId4"/>
      <w:footerReference w:type="default" r:id="rId5"/>
      <w:pgSz w:w="12240" w:h="15840"/>
      <w:pgMar w:top="460" w:right="860" w:bottom="460" w:left="86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C0C2A8C7-15E0-4E34-A1E5-2DDA3950287B}"/>
    <w:embedBold r:id="rId2" w:fontKey="{5385617B-ADB8-4410-8378-71A53F780706}"/>
    <w:embedItalic r:id="rId3" w:fontKey="{66CD889A-2C89-4BA0-ABE0-229EFD52A16B}"/>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7">
    <w:nsid w:val="00000012"/>
    <w:multiLevelType w:val="hybridMultilevel"/>
    <w:tmpl w:val="00000012"/>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6pagesize">
    <w:name w:val="skn-slo6_pagesize"/>
    <w:basedOn w:val="Normal"/>
  </w:style>
  <w:style w:type="paragraph" w:customStyle="1" w:styleId="skn-slo6top-section">
    <w:name w:val="skn-slo6_top-section"/>
    <w:basedOn w:val="Normal"/>
    <w:pPr>
      <w:pBdr>
        <w:bottom w:val="single" w:sz="8" w:space="0" w:color="7851A9"/>
      </w:pBdr>
      <w:jc w:val="center"/>
    </w:pPr>
  </w:style>
  <w:style w:type="character" w:customStyle="1" w:styleId="skn-slo6name-sec">
    <w:name w:val="skn-slo6_name-sec"/>
    <w:basedOn w:val="DefaultParagraphFont"/>
  </w:style>
  <w:style w:type="paragraph" w:customStyle="1" w:styleId="skn-slo6firstparagraph">
    <w:name w:val="skn-slo6_firstparagraph"/>
    <w:basedOn w:val="Normal"/>
  </w:style>
  <w:style w:type="paragraph" w:customStyle="1" w:styleId="skn-slo6name">
    <w:name w:val="skn-slo6_name"/>
    <w:basedOn w:val="Normal"/>
    <w:pPr>
      <w:spacing w:line="600" w:lineRule="atLeast"/>
    </w:pPr>
    <w:rPr>
      <w:b/>
      <w:bCs/>
      <w:color w:val="7851A9"/>
      <w:sz w:val="48"/>
      <w:szCs w:val="48"/>
    </w:rPr>
  </w:style>
  <w:style w:type="character" w:customStyle="1" w:styleId="span">
    <w:name w:val="span"/>
    <w:basedOn w:val="DefaultParagraphFont"/>
    <w:rPr>
      <w:bdr w:val="none" w:sz="0" w:space="0" w:color="auto"/>
      <w:vertAlign w:val="baseline"/>
    </w:rPr>
  </w:style>
  <w:style w:type="paragraph" w:customStyle="1" w:styleId="skn-slo6txt-caps">
    <w:name w:val="skn-slo6_txt-caps"/>
    <w:basedOn w:val="Normal"/>
    <w:rPr>
      <w:caps/>
    </w:rPr>
  </w:style>
  <w:style w:type="paragraph" w:customStyle="1" w:styleId="namePictPara">
    <w:name w:val="namePictPara"/>
    <w:basedOn w:val="Normal"/>
    <w:pPr>
      <w:pBdr>
        <w:bottom w:val="none" w:sz="0" w:space="13" w:color="auto"/>
      </w:pBdr>
    </w:pPr>
  </w:style>
  <w:style w:type="character" w:customStyle="1" w:styleId="skn-slo6firstparagraphCharacter">
    <w:name w:val="skn-slo6_firstparagraph Character"/>
    <w:basedOn w:val="DefaultParagraphFont"/>
  </w:style>
  <w:style w:type="table" w:customStyle="1" w:styleId="skn-slo6top-left-box">
    <w:name w:val="skn-slo6_top-left-box"/>
    <w:basedOn w:val="TableNormal"/>
    <w:tblPr/>
  </w:style>
  <w:style w:type="paragraph" w:customStyle="1" w:styleId="skn-slo6middle-section">
    <w:name w:val="skn-slo6_middle-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ntc-sec">
    <w:name w:val="skn-slo6_cntc-sec"/>
    <w:basedOn w:val="Normal"/>
  </w:style>
  <w:style w:type="paragraph" w:customStyle="1" w:styleId="skn-slo6addressaddr-details">
    <w:name w:val="skn-slo6_address_addr-details"/>
    <w:basedOn w:val="Normal"/>
    <w:pPr>
      <w:pBdr>
        <w:right w:val="none" w:sz="0" w:space="15" w:color="auto"/>
      </w:pBdr>
      <w:jc w:val="center"/>
    </w:pPr>
  </w:style>
  <w:style w:type="character" w:customStyle="1" w:styleId="skn-slo6addressaddr-detailsCharacter">
    <w:name w:val="skn-slo6_address_addr-details Character"/>
    <w:basedOn w:val="DefaultParagraphFont"/>
  </w:style>
  <w:style w:type="paragraph" w:customStyle="1" w:styleId="skn-slo6addressaddr-detailsnth-last-child3">
    <w:name w:val="skn-slo6_address_addr-details_nth-last-child(3)"/>
    <w:basedOn w:val="Normal"/>
  </w:style>
  <w:style w:type="character" w:customStyle="1" w:styleId="skn-slo6addressaddr-detailsnth-last-child3Character">
    <w:name w:val="skn-slo6_address_addr-details_nth-last-child(3) Character"/>
    <w:basedOn w:val="DefaultParagraphFont"/>
  </w:style>
  <w:style w:type="paragraph" w:customStyle="1" w:styleId="skn-slo6addressaddr-detailsnth-last-child2">
    <w:name w:val="skn-slo6_address_addr-details_nth-last-child(2)"/>
    <w:basedOn w:val="Normal"/>
  </w:style>
  <w:style w:type="character" w:customStyle="1" w:styleId="skn-slo6spanempty">
    <w:name w:val="skn-slo6_span_empty"/>
    <w:basedOn w:val="DefaultParagraphFont"/>
    <w:rPr>
      <w:vanish/>
    </w:rPr>
  </w:style>
  <w:style w:type="character" w:customStyle="1" w:styleId="skn-slo6addressaddr-detailsnth-last-child2Character">
    <w:name w:val="skn-slo6_address_addr-details_nth-last-child(2) Character"/>
    <w:basedOn w:val="DefaultParagraphFont"/>
  </w:style>
  <w:style w:type="paragraph" w:customStyle="1" w:styleId="skn-slo6addressaddr-detailsnth-last-child1">
    <w:name w:val="skn-slo6_address_addr-details_nth-last-child(1)"/>
    <w:basedOn w:val="Normal"/>
    <w:pPr>
      <w:pBdr>
        <w:right w:val="none" w:sz="0" w:space="0" w:color="auto"/>
      </w:pBdr>
    </w:pPr>
  </w:style>
  <w:style w:type="character" w:customStyle="1" w:styleId="skn-slo6addressaddr-detailsnth-last-child1Character">
    <w:name w:val="skn-slo6_address_addr-details_nth-last-child(1) Character"/>
    <w:basedOn w:val="DefaultParagraphFont"/>
  </w:style>
  <w:style w:type="paragraph" w:customStyle="1" w:styleId="brdr">
    <w:name w:val="brdr"/>
    <w:basedOn w:val="Normal"/>
    <w:pPr>
      <w:pBdr>
        <w:top w:val="single" w:sz="8" w:space="0" w:color="050505"/>
      </w:pBdr>
      <w:spacing w:line="20" w:lineRule="atLeast"/>
    </w:pPr>
    <w:rPr>
      <w:sz w:val="2"/>
      <w:szCs w:val="2"/>
    </w:rPr>
  </w:style>
  <w:style w:type="paragraph" w:customStyle="1" w:styleId="skn-slo6section">
    <w:name w:val="skn-slo6_section"/>
    <w:basedOn w:val="Normal"/>
  </w:style>
  <w:style w:type="paragraph" w:customStyle="1" w:styleId="skn-slo6txt-itl">
    <w:name w:val="skn-slo6_txt-itl"/>
    <w:basedOn w:val="Normal"/>
    <w:rPr>
      <w:i/>
      <w:iCs/>
    </w:rPr>
  </w:style>
  <w:style w:type="paragraph" w:customStyle="1" w:styleId="firstparagraphparaSpacing">
    <w:name w:val="firstparagraph_paraSpacing"/>
    <w:basedOn w:val="Normal"/>
    <w:rPr>
      <w:vanish/>
    </w:rPr>
  </w:style>
  <w:style w:type="paragraph" w:customStyle="1" w:styleId="skn-slo6singlecolumn">
    <w:name w:val="skn-slo6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mn-secsection">
    <w:name w:val="skn-slo6_cmn-sec_section"/>
    <w:basedOn w:val="Normal"/>
    <w:rPr>
      <w:sz w:val="0"/>
      <w:szCs w:val="0"/>
    </w:rPr>
  </w:style>
  <w:style w:type="paragraph" w:customStyle="1" w:styleId="skn-slo6heading">
    <w:name w:val="skn-slo6_heading"/>
    <w:basedOn w:val="Normal"/>
    <w:pPr>
      <w:pBdr>
        <w:bottom w:val="single" w:sz="8" w:space="0" w:color="7851A9"/>
      </w:pBdr>
    </w:pPr>
  </w:style>
  <w:style w:type="paragraph" w:customStyle="1" w:styleId="skn-slo6sectiontitle">
    <w:name w:val="skn-slo6_sectiontitle"/>
    <w:basedOn w:val="Normal"/>
    <w:pPr>
      <w:spacing w:line="300" w:lineRule="atLeast"/>
    </w:pPr>
    <w:rPr>
      <w:b/>
      <w:bCs/>
      <w:caps/>
      <w:color w:val="7851A9"/>
      <w:sz w:val="24"/>
      <w:szCs w:val="24"/>
    </w:rPr>
  </w:style>
  <w:style w:type="character" w:customStyle="1" w:styleId="skn-slo6cmn-secparagraph">
    <w:name w:val="skn-slo6_cmn-sec_paragraph"/>
    <w:basedOn w:val="DefaultParagraphFont"/>
    <w:rPr>
      <w:rFonts w:ascii="Open Sans" w:eastAsia="Open Sans" w:hAnsi="Open Sans" w:cs="Open Sans"/>
    </w:rPr>
  </w:style>
  <w:style w:type="paragraph" w:customStyle="1" w:styleId="skn-slo6cmn-secparagraphany">
    <w:name w:val="skn-slo6_cmn-sec_paragraph_any"/>
    <w:basedOn w:val="Normal"/>
    <w:rPr>
      <w:sz w:val="20"/>
      <w:szCs w:val="20"/>
    </w:rPr>
  </w:style>
  <w:style w:type="character" w:customStyle="1" w:styleId="skn-slo6cmn-secparagraphanyCharacter">
    <w:name w:val="skn-slo6_cmn-sec_paragraph_any Character"/>
    <w:basedOn w:val="DefaultParagraphFont"/>
    <w:rPr>
      <w:sz w:val="20"/>
      <w:szCs w:val="20"/>
    </w:rPr>
  </w:style>
  <w:style w:type="character" w:customStyle="1" w:styleId="skn-slo6cmn-secparagraphnth-last-child2">
    <w:name w:val="skn-slo6_cmn-sec_paragraph_nth-last-child(2)"/>
    <w:basedOn w:val="DefaultParagraphFont"/>
  </w:style>
  <w:style w:type="character" w:customStyle="1" w:styleId="skn-slo6cmn-secparagraphnth-last-child1">
    <w:name w:val="skn-slo6_cmn-sec_paragraph_nth-last-child(1)"/>
    <w:basedOn w:val="DefaultParagraphFont"/>
  </w:style>
  <w:style w:type="paragraph" w:customStyle="1" w:styleId="skn-slo6parent-containersectionnth-child1">
    <w:name w:val="skn-slo6_parent-container_section_nth-child(1)"/>
    <w:basedOn w:val="Normal"/>
    <w:pPr>
      <w:pBdr>
        <w:top w:val="none" w:sz="0" w:space="0" w:color="auto"/>
        <w:left w:val="none" w:sz="0" w:space="0" w:color="auto"/>
        <w:bottom w:val="none" w:sz="0" w:space="0" w:color="auto"/>
        <w:right w:val="none" w:sz="0" w:space="0" w:color="auto"/>
      </w:pBdr>
    </w:pPr>
  </w:style>
  <w:style w:type="character" w:customStyle="1" w:styleId="skn-slo6parent-containersectionnth-child1Character">
    <w:name w:val="skn-slo6_parent-container_section_nth-child(1) Character"/>
    <w:basedOn w:val="DefaultParagraphFont"/>
  </w:style>
  <w:style w:type="character" w:customStyle="1" w:styleId="skn-slo6tbl-inner">
    <w:name w:val="skn-slo6_tbl-inner"/>
    <w:basedOn w:val="DefaultParagraphFont"/>
  </w:style>
  <w:style w:type="paragraph" w:customStyle="1" w:styleId="skn-slo6disp-block">
    <w:name w:val="skn-slo6_disp-block"/>
    <w:basedOn w:val="Normal"/>
  </w:style>
  <w:style w:type="character" w:customStyle="1" w:styleId="skn-slo6txt-nrml">
    <w:name w:val="skn-slo6_txt-nrml"/>
    <w:basedOn w:val="DefaultParagraphFont"/>
    <w:rPr>
      <w:b w:val="0"/>
      <w:bCs w:val="0"/>
    </w:rPr>
  </w:style>
  <w:style w:type="character" w:customStyle="1" w:styleId="skn-slo6tbl-innertbl-inner">
    <w:name w:val="skn-slo6_tbl-inner + tbl-inner"/>
    <w:basedOn w:val="DefaultParagraphFont"/>
  </w:style>
  <w:style w:type="character" w:customStyle="1" w:styleId="skn-slo6txt-capsCharacter">
    <w:name w:val="skn-slo6_txt-caps Character"/>
    <w:basedOn w:val="DefaultParagraphFont"/>
    <w:rPr>
      <w:caps/>
    </w:rPr>
  </w:style>
  <w:style w:type="paragraph" w:customStyle="1" w:styleId="skn-slo6jobyear">
    <w:name w:val="skn-slo6_jobyear"/>
    <w:basedOn w:val="Normal"/>
    <w:pPr>
      <w:pBdr>
        <w:top w:val="none" w:sz="0" w:space="2" w:color="auto"/>
      </w:pBdr>
    </w:pPr>
    <w:rPr>
      <w:b w:val="0"/>
      <w:bCs w:val="0"/>
      <w:i/>
      <w:iCs/>
    </w:rPr>
  </w:style>
  <w:style w:type="table" w:customStyle="1" w:styleId="skn-slo6disp-blockTable">
    <w:name w:val="skn-slo6_disp-block Table"/>
    <w:basedOn w:val="TableNormal"/>
    <w:tblPr/>
  </w:style>
  <w:style w:type="paragraph" w:customStyle="1" w:styleId="ulli">
    <w:name w:val="ul_li"/>
    <w:basedOn w:val="Normal"/>
    <w:pPr>
      <w:pBdr>
        <w:left w:val="none" w:sz="0" w:space="8" w:color="auto"/>
        <w:bottom w:val="none" w:sz="0" w:space="3" w:color="auto"/>
      </w:pBdr>
    </w:pPr>
  </w:style>
  <w:style w:type="paragraph" w:customStyle="1" w:styleId="ullinth-last-child1">
    <w:name w:val="ul_li_nth-last-child(1)"/>
    <w:basedOn w:val="Normal"/>
    <w:pPr>
      <w:pBdr>
        <w:bottom w:val="none" w:sz="0" w:space="0" w:color="auto"/>
      </w:pBdr>
    </w:pPr>
  </w:style>
  <w:style w:type="paragraph" w:customStyle="1" w:styleId="skn-slo6paragraph">
    <w:name w:val="skn-slo6_paragraph"/>
    <w:basedOn w:val="Normal"/>
  </w:style>
  <w:style w:type="character" w:customStyle="1" w:styleId="divCharacter">
    <w:name w:val="div Character"/>
    <w:basedOn w:val="DefaultParagraphFont"/>
    <w:rPr>
      <w:bdr w:val="none" w:sz="0" w:space="0" w:color="auto"/>
      <w:vertAlign w:val="baseline"/>
    </w:rPr>
  </w:style>
  <w:style w:type="character" w:customStyle="1" w:styleId="skn-slo6txt-bold">
    <w:name w:val="skn-slo6_txt-bold"/>
    <w:basedOn w:val="DefaultParagraphFont"/>
    <w:rPr>
      <w:b/>
      <w:bCs/>
    </w:rPr>
  </w:style>
  <w:style w:type="character" w:customStyle="1" w:styleId="skn-slo6sectionjobdate">
    <w:name w:val="skn-slo6_section_jobdate"/>
    <w:basedOn w:val="DefaultParagraphFont"/>
  </w:style>
  <w:style w:type="character" w:customStyle="1" w:styleId="skn-slo6txt-itlCharacter">
    <w:name w:val="skn-slo6_txt-itl Character"/>
    <w:basedOn w:val="DefaultParagraphFont"/>
    <w:rPr>
      <w:i/>
      <w:iCs/>
    </w:rPr>
  </w:style>
  <w:style w:type="paragraph" w:customStyle="1" w:styleId="skn-slo6sectionreference-secrefparatable">
    <w:name w:val="skn-slo6_section_reference-sec_refparatable"/>
    <w:basedOn w:val="Normal"/>
  </w:style>
  <w:style w:type="paragraph" w:customStyle="1" w:styleId="skn-slo6sectionreference-secparagraphupon-req-para">
    <w:name w:val="skn-slo6_section_reference-sec_paragraph_upon-req-para"/>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Karthik Ramanathan</dc:title>
  <cp:revision>0</cp:revision>
</cp:coreProperties>
</file>