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217C7C"/>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Rakesh</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Kulkarni</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Audit Director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rakesh.kulkarni@example.com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Pune</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Maharashtra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411045</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18</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August</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1981</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7ab0b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Seasoned Audit Director with extensive expertise in internal audit management, regulatory compliance, and risk assessment across diverse industries. Proven ability to design and implement audit strategies, strengthen internal controls, and deliver actionable insights to senior leadership. Adept at leading high-performing teams and driving process improvements to support organizational goals and mitigate financial risks.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Audit Director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Larsen &amp; Toubro Limited</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Apr 2016</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Mumbai</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Maharashtra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Lead enterprise-wide internal audit programs covering financial, operational, and compliance areas across multiple business units.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Develop annual audit plans based on risk assessments and organizational priorities.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Review audit findings and ensure timely corrective actions through management coordination.</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Present audit reports and risk insights to audit committee and senior leadership.</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Oversee statutory audit coordination and support external auditors during annual audits.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Strengthen internal control frameworks to reduce financial and operational risks.</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Mentor audit managers and executives to maintain audit quality and ethical standards.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Senior Audit Manager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Deloitte India</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2010</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Mar 2016</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Hyderabad</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Telangana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statutory and internal audits for listed and unlisted clients across manufacturing and service sectors.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Reviewed financial statements to ensure compliance with Indian Accounting Standards and regulatory requirements.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Identified control gaps and recommended practical process improvements to client management.</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audit teams and ensured timely completion of audit engagements.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Liaised with client leadership to discuss audit observations and remediation plans.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Ensured audit documentation met professional standards and regulatory expectations.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partner reviews and assisted in client presentations and audit committee meetings.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Audit Executive</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KPMG India</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Jun 2005</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2010</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Bengaluru</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Karnataka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3"/>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Conducted statutory audits including vouching, verification, and financial statement analysis.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in internal audits focusing on process controls and compliance requirements.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audit working papers and supported senior auditors during fieldwork.</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Reviewed accounting records for accuracy and compliance with applicable standards.</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client finance teams to resolve audit queries promptly.</w:t>
      </w:r>
    </w:p>
    <w:p>
      <w:pPr>
        <w:pStyle w:val="skn-mly8ulli"/>
        <w:numPr>
          <w:ilvl w:val="0"/>
          <w:numId w:val="3"/>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in tax audit assignments and regulatory reporting requirements.</w:t>
      </w:r>
    </w:p>
    <w:p>
      <w:pPr>
        <w:pStyle w:val="skn-mly8ullinth-last-child1"/>
        <w:numPr>
          <w:ilvl w:val="0"/>
          <w:numId w:val="3"/>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Gained exposure to multiple industries including IT, manufacturing, and infrastructure.</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10th Standard</w:t>
            </w:r>
            <w:r>
              <w:rPr>
                <w:rStyle w:val="skn-mly8educationfirst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Vidya Pratishthan School</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1997</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12th Standard</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Fergusson College</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1999</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Bachelor of Commerce</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Accounting and Auditing</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Garware College of Commerce</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Jun 2002</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7ab0b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Internal audit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Statutory audit compliance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Risk assessment and mitigation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Internal financial controls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Regulatory compliance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Audit planning and execution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Team leadership and mentoring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Process improvement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Stakeholder coordination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Audit reporting and documentation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firstparagraph"/>
                <w:rFonts w:ascii="Open Sans" w:eastAsia="Open Sans" w:hAnsi="Open Sans" w:cs="Open Sans"/>
                <w:b w:val="0"/>
                <w:bCs w:val="0"/>
                <w:color w:val="181818"/>
                <w:sz w:val="20"/>
                <w:szCs w:val="20"/>
              </w:rPr>
            </w:pPr>
            <w:r>
              <w:rPr>
                <w:rStyle w:val="skn-mly8similar-secfirstparagraph"/>
                <w:rFonts w:ascii="Open Sans" w:eastAsia="Open Sans" w:hAnsi="Open Sans" w:cs="Open Sans"/>
                <w:b w:val="0"/>
                <w:bCs w:val="0"/>
                <w:color w:val="181818"/>
                <w:sz w:val="20"/>
                <w:szCs w:val="20"/>
              </w:rPr>
              <w:t>Forensic Accounting and Fraud Detection, ICAI</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5"/>
              </w:numPr>
              <w:spacing w:before="0" w:after="0" w:line="240" w:lineRule="atLeast"/>
              <w:ind w:left="220" w:right="0" w:hanging="220"/>
              <w:jc w:val="left"/>
              <w:rPr>
                <w:rStyle w:val="skn-mly8similar-secparagraph"/>
                <w:rFonts w:ascii="Open Sans" w:eastAsia="Open Sans" w:hAnsi="Open Sans" w:cs="Open Sans"/>
                <w:b w:val="0"/>
                <w:bCs w:val="0"/>
                <w:color w:val="181818"/>
                <w:sz w:val="20"/>
                <w:szCs w:val="20"/>
              </w:rPr>
            </w:pPr>
            <w:r>
              <w:rPr>
                <w:rStyle w:val="skn-mly8similar-secparagraph"/>
                <w:rFonts w:ascii="Open Sans" w:eastAsia="Open Sans" w:hAnsi="Open Sans" w:cs="Open Sans"/>
                <w:b w:val="0"/>
                <w:bCs w:val="0"/>
                <w:color w:val="181818"/>
                <w:sz w:val="20"/>
                <w:szCs w:val="20"/>
              </w:rPr>
              <w:t>Risk Management Certification, NISM</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160" w:type="dxa"/>
              <w:left w:w="0" w:type="dxa"/>
              <w:bottom w:w="0" w:type="dxa"/>
              <w:right w:w="0" w:type="dxa"/>
            </w:tcMar>
            <w:vAlign w:val="top"/>
            <w:hideMark/>
          </w:tcPr>
          <w:p>
            <w:pPr>
              <w:pStyle w:val="skn-mly8anyParagraph"/>
              <w:numPr>
                <w:ilvl w:val="0"/>
                <w:numId w:val="16"/>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Chartered Accountant, Institute of Chartered Accountants of India</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160" w:type="dxa"/>
              <w:left w:w="0" w:type="dxa"/>
              <w:bottom w:w="0" w:type="dxa"/>
              <w:right w:w="0" w:type="dxa"/>
            </w:tcMar>
            <w:vAlign w:val="top"/>
            <w:hideMark/>
          </w:tcPr>
          <w:p/>
        </w:tc>
        <w:tc>
          <w:tcPr>
            <w:tcW w:w="5566" w:type="dxa"/>
            <w:noWrap w:val="0"/>
            <w:tcMar>
              <w:top w:w="160" w:type="dxa"/>
              <w:left w:w="0" w:type="dxa"/>
              <w:bottom w:w="0" w:type="dxa"/>
              <w:right w:w="0" w:type="dxa"/>
            </w:tcMar>
            <w:vAlign w:val="top"/>
            <w:hideMark/>
          </w:tcPr>
          <w:p>
            <w:pPr>
              <w:pStyle w:val="skn-mly8anyParagraph"/>
              <w:numPr>
                <w:ilvl w:val="0"/>
                <w:numId w:val="17"/>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Certified Internal Auditor, IIA India</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Led internal control review project to align processes with revised regulatory requirements. Managed enterprise risk assessment project for multi-location operations.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7ab0b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8"/>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Successfully reduced high-risk audit observations by 40% at Larsen &amp; Toubro Limited.</w:t>
      </w:r>
    </w:p>
    <w:p>
      <w:pPr>
        <w:pStyle w:val="skn-mly8ulli"/>
        <w:numPr>
          <w:ilvl w:val="0"/>
          <w:numId w:val="18"/>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Led complex audit engagements with zero regulatory non-compliance at Deloitte India.</w:t>
      </w:r>
    </w:p>
    <w:p>
      <w:pPr>
        <w:pStyle w:val="skn-mly8ullinth-last-child1"/>
        <w:numPr>
          <w:ilvl w:val="0"/>
          <w:numId w:val="18"/>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for improving audit turnaround time while maintaining quality at KPMG India.</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BE18818C-3B71-4E2B-B7EA-4267FF0C6646}"/>
  </w:font>
  <w:font w:name="Open Sans">
    <w:charset w:val="00"/>
    <w:family w:val="auto"/>
    <w:pitch w:val="default"/>
    <w:sig w:usb0="00000000" w:usb1="00000000" w:usb2="00000000" w:usb3="00000000" w:csb0="00000001" w:csb1="00000000"/>
    <w:embedRegular r:id="rId2" w:fontKey="{D0C627A3-36D4-4123-AF75-0422BC00C5A0}"/>
    <w:embedBold r:id="rId3" w:fontKey="{3EC626BF-BC72-4C23-935C-FFFF2BDC401B}"/>
  </w:font>
  <w:font w:name="Open Sans Medium">
    <w:charset w:val="00"/>
    <w:family w:val="auto"/>
    <w:pitch w:val="default"/>
    <w:embedRegular r:id="rId4" w:fontKey="{DC396E08-F797-42E0-AEEE-B58DBC519F1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217C7C"/>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217C7C"/>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217C7C"/>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firstparagraph">
    <w:name w:val="skn-mly8_similar-sec_firstparagraph"/>
    <w:basedOn w:val="DefaultParagraphFont"/>
  </w:style>
  <w:style w:type="character" w:customStyle="1" w:styleId="skn-mly8similar-secparagraph">
    <w:name w:val="skn-mly8_similar-sec_paragraph"/>
    <w:basedOn w:val="DefaultParagraphFont"/>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Rakesh Kulkarni</dc:title>
  <cp:revision>0</cp:revision>
</cp:coreProperties>
</file>