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firstsection"/>
        <w:tblW w:w="0" w:type="auto"/>
        <w:tblCellSpacing w:w="0" w:type="dxa"/>
        <w:tblLayout w:type="fixed"/>
        <w:tblCellMar>
          <w:top w:w="0" w:type="dxa"/>
          <w:left w:w="0" w:type="dxa"/>
          <w:bottom w:w="0" w:type="dxa"/>
          <w:right w:w="0" w:type="dxa"/>
        </w:tblCellMar>
        <w:tblLook w:val="05E0"/>
      </w:tblPr>
      <w:tblGrid>
        <w:gridCol w:w="4480"/>
        <w:gridCol w:w="61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80" w:type="dxa"/>
            <w:tcMar>
              <w:top w:w="0" w:type="dxa"/>
              <w:left w:w="0" w:type="dxa"/>
              <w:bottom w:w="20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40"/>
                <w:szCs w:val="40"/>
              </w:rPr>
              <w:t>Ankit</w:t>
            </w:r>
            <w:r>
              <w:rPr>
                <w:rStyle w:val="txt-bold"/>
                <w:rFonts w:ascii="Open Sans" w:eastAsia="Open Sans" w:hAnsi="Open Sans" w:cs="Open Sans"/>
                <w:b/>
                <w:bCs/>
                <w:color w:val="050505"/>
                <w:sz w:val="40"/>
                <w:szCs w:val="40"/>
                <w:bdr w:val="none" w:sz="0" w:space="0" w:color="auto"/>
                <w:vertAlign w:val="baseline"/>
              </w:rPr>
              <w:t xml:space="preserve"> </w:t>
            </w:r>
            <w:r>
              <w:rPr>
                <w:rStyle w:val="span"/>
                <w:rFonts w:ascii="Open Sans" w:eastAsia="Open Sans" w:hAnsi="Open Sans" w:cs="Open Sans"/>
                <w:b/>
                <w:bCs/>
                <w:color w:val="050505"/>
                <w:sz w:val="40"/>
                <w:szCs w:val="40"/>
              </w:rPr>
              <w:t>Verma</w:t>
            </w:r>
          </w:p>
        </w:tc>
        <w:tc>
          <w:tcPr>
            <w:tcW w:w="6100" w:type="dxa"/>
            <w:tcMar>
              <w:top w:w="0" w:type="dxa"/>
              <w:left w:w="240" w:type="dxa"/>
              <w:bottom w:w="200" w:type="dxa"/>
              <w:right w:w="0" w:type="dxa"/>
            </w:tcMar>
            <w:vAlign w:val="bottom"/>
            <w:hideMark/>
          </w:tcPr>
          <w:p>
            <w:pPr>
              <w:jc w:val="right"/>
              <w:rPr>
                <w:rStyle w:val="txt-bold"/>
                <w:rFonts w:ascii="Open Sans" w:eastAsia="Open Sans" w:hAnsi="Open Sans" w:cs="Open Sans"/>
                <w:b/>
                <w:bCs/>
                <w:color w:val="050505"/>
                <w:sz w:val="40"/>
                <w:szCs w:val="40"/>
                <w:bdr w:val="none" w:sz="0" w:space="0" w:color="auto"/>
                <w:vertAlign w:val="baseline"/>
              </w:rPr>
            </w:pPr>
            <w:r>
              <w:rPr>
                <w:rStyle w:val="span"/>
                <w:rFonts w:ascii="Open Sans" w:eastAsia="Open Sans" w:hAnsi="Open Sans" w:cs="Open Sans"/>
                <w:b/>
                <w:bCs/>
                <w:color w:val="050505"/>
                <w:spacing w:val="23"/>
              </w:rPr>
              <w:t>Tax Accountant</w:t>
            </w:r>
          </w:p>
        </w:tc>
      </w:tr>
    </w:tbl>
    <w:p>
      <w:pPr>
        <w:rPr>
          <w:vanish/>
        </w:rPr>
      </w:pPr>
    </w:p>
    <w:tbl>
      <w:tblPr>
        <w:tblStyle w:val="cntc-sec"/>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1760" w:type="dxa"/>
            <w:tcBorders>
              <w:top w:val="single" w:sz="8" w:space="0" w:color="909090"/>
              <w:bottom w:val="single" w:sz="8" w:space="0" w:color="909090"/>
            </w:tcBorders>
            <w:tcMar>
              <w:top w:w="80" w:type="dxa"/>
              <w:left w:w="200" w:type="dxa"/>
              <w:bottom w:w="200" w:type="dxa"/>
              <w:right w:w="200" w:type="dxa"/>
            </w:tcMar>
            <w:vAlign w:val="bottom"/>
            <w:hideMark/>
          </w:tcPr>
          <w:p>
            <w:pPr>
              <w:pStyle w:val="address"/>
              <w:pBdr>
                <w:top w:val="none" w:sz="0" w:space="0" w:color="auto"/>
                <w:left w:val="none" w:sz="0" w:space="0" w:color="auto"/>
                <w:bottom w:val="none" w:sz="0" w:space="0" w:color="auto"/>
                <w:right w:val="none" w:sz="0" w:space="0" w:color="auto"/>
              </w:pBdr>
              <w:spacing w:before="0" w:line="360" w:lineRule="atLeast"/>
              <w:ind w:left="600" w:right="600"/>
              <w:rPr>
                <w:rStyle w:val="skn-slo5mid-sectionmiddle-boxcntc-secparagraph"/>
                <w:rFonts w:ascii="Open Sans" w:eastAsia="Open Sans" w:hAnsi="Open Sans" w:cs="Open Sans"/>
                <w:color w:val="050505"/>
                <w:sz w:val="20"/>
                <w:szCs w:val="20"/>
                <w:bdr w:val="none" w:sz="0" w:space="0" w:color="auto"/>
                <w:vertAlign w:val="baseline"/>
              </w:rPr>
            </w:pP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+91</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98765</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43210</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8240" behindDoc="0" locked="0" layoutInCell="1" allowOverlap="1">
                  <wp:simplePos x="0" y="0"/>
                  <wp:positionH relativeFrom="character">
                    <wp:posOffset>0</wp:posOffset>
                  </wp:positionH>
                  <wp:positionV relativeFrom="line">
                    <wp:posOffset>82597</wp:posOffset>
                  </wp:positionV>
                  <wp:extent cx="12746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ankit.verma@example.com</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9264" behindDoc="0" locked="0" layoutInCell="1" allowOverlap="1">
                  <wp:simplePos x="0" y="0"/>
                  <wp:positionH relativeFrom="character">
                    <wp:posOffset>0</wp:posOffset>
                  </wp:positionH>
                  <wp:positionV relativeFrom="line">
                    <wp:posOffset>82597</wp:posOffset>
                  </wp:positionV>
                  <wp:extent cx="127463" cy="127540"/>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Pune</w:t>
            </w:r>
            <w:r>
              <w:rPr>
                <w:rStyle w:val="addressadd-detailsspan"/>
                <w:rFonts w:ascii="Open Sans" w:eastAsia="Open Sans" w:hAnsi="Open Sans" w:cs="Open Sans"/>
                <w:sz w:val="20"/>
                <w:szCs w:val="20"/>
              </w:rPr>
              <w:t>,</w:t>
            </w: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Maharashtra</w:t>
            </w: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411005</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60288" behindDoc="0" locked="0" layoutInCell="1" allowOverlap="1">
                  <wp:simplePos x="0" y="0"/>
                  <wp:positionH relativeFrom="character">
                    <wp:posOffset>0</wp:posOffset>
                  </wp:positionH>
                  <wp:positionV relativeFrom="line">
                    <wp:posOffset>82597</wp:posOffset>
                  </wp:positionV>
                  <wp:extent cx="127463" cy="127540"/>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22</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August</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1993</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xml:space="preserve"> </w:t>
            </w:r>
          </w:p>
        </w:tc>
      </w:tr>
    </w:tbl>
    <w:p>
      <w:pPr>
        <w:rPr>
          <w:vanish/>
        </w:rPr>
      </w:pPr>
    </w:p>
    <w:tbl>
      <w:tblPr>
        <w:tblStyle w:val="parent-container1left-box"/>
        <w:tblW w:w="5000" w:type="pct"/>
        <w:tblCellSpacing w:w="0" w:type="dxa"/>
        <w:tblCellMar>
          <w:top w:w="0" w:type="dxa"/>
          <w:left w:w="0" w:type="dxa"/>
          <w:bottom w:w="0" w:type="dxa"/>
          <w:right w:w="0" w:type="dxa"/>
        </w:tblCellMar>
        <w:tblLook w:val="05E0"/>
      </w:tblPr>
      <w:tblGrid>
        <w:gridCol w:w="10560"/>
      </w:tblGrid>
      <w:tr>
        <w:tblPrEx>
          <w:tblW w:w="5000" w:type="pct"/>
          <w:tblCellSpacing w:w="0" w:type="dxa"/>
          <w:tblCellMar>
            <w:top w:w="0" w:type="dxa"/>
            <w:left w:w="0" w:type="dxa"/>
            <w:bottom w:w="0" w:type="dxa"/>
            <w:right w:w="0" w:type="dxa"/>
          </w:tblCellMar>
          <w:tblLook w:val="05E0"/>
        </w:tblPrEx>
        <w:trPr>
          <w:tblCellSpacing w:w="0" w:type="dxa"/>
        </w:trPr>
        <w:tc>
          <w:tcPr>
            <w:tcW w:w="8800" w:type="dxa"/>
            <w:tcMar>
              <w:top w:w="400" w:type="dxa"/>
              <w:left w:w="0" w:type="dxa"/>
              <w:bottom w:w="0" w:type="dxa"/>
              <w:right w:w="0" w:type="dxa"/>
            </w:tcMar>
            <w:vAlign w:val="top"/>
            <w:hideMark/>
          </w:tcPr>
          <w:p>
            <w:pPr>
              <w:pStyle w:val="summ-gap-div"/>
              <w:pBdr>
                <w:top w:val="none" w:sz="0" w:space="0" w:color="auto"/>
                <w:left w:val="none" w:sz="0" w:space="0" w:color="auto"/>
                <w:bottom w:val="none" w:sz="0" w:space="0" w:color="auto"/>
                <w:right w:val="none" w:sz="0" w:space="0" w:color="auto"/>
              </w:pBdr>
              <w:spacing w:before="0" w:after="0"/>
              <w:ind w:left="0" w:right="0"/>
              <w:rPr>
                <w:rStyle w:val="parent-container1left-boxsumm-sec"/>
                <w:rFonts w:ascii="Open Sans" w:eastAsia="Open Sans" w:hAnsi="Open Sans" w:cs="Open Sans"/>
                <w:color w:val="050505"/>
                <w:sz w:val="8"/>
                <w:szCs w:val="8"/>
                <w:bdr w:val="none" w:sz="0" w:space="0" w:color="auto"/>
                <w:vertAlign w:val="baseline"/>
              </w:rPr>
            </w:pPr>
            <w:r>
              <w:rPr>
                <w:rStyle w:val="parent-container1left-boxsumm-sec"/>
                <w:rFonts w:ascii="Open Sans" w:eastAsia="Open Sans" w:hAnsi="Open Sans" w:cs="Open Sans"/>
                <w:color w:val="050505"/>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Style w:val="parent-container1left-boxsumm-sec"/>
                <w:rFonts w:ascii="Open Sans" w:eastAsia="Open Sans" w:hAnsi="Open Sans" w:cs="Open Sans"/>
                <w:color w:val="505050"/>
                <w:sz w:val="20"/>
                <w:szCs w:val="20"/>
                <w:bdr w:val="none" w:sz="0" w:space="0" w:color="auto"/>
                <w:vertAlign w:val="baseline"/>
              </w:rPr>
            </w:pPr>
            <w:r>
              <w:rPr>
                <w:rStyle w:val="parent-container1left-boxsumm-sec"/>
                <w:rFonts w:ascii="Open Sans" w:eastAsia="Open Sans" w:hAnsi="Open Sans" w:cs="Open Sans"/>
                <w:color w:val="505050"/>
                <w:sz w:val="20"/>
                <w:szCs w:val="20"/>
                <w:bdr w:val="none" w:sz="0" w:space="0" w:color="auto"/>
                <w:vertAlign w:val="baseline"/>
              </w:rPr>
              <w:t>Business operations professional with expertise in income tax returns, GST compliance, and client advisory. Bringing strong skills in tax assessments, reconciliations, and compliance documentation. Experienced in supporting tax audits and handling notices, with proficiency in accounting software for efficient financial management.</w: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Experience</w:t>
      </w:r>
    </w:p>
    <w:p>
      <w:pPr>
        <w:pStyle w:val="txt-caps"/>
        <w:pBdr>
          <w:top w:val="none" w:sz="0" w:space="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Jul '21</w:t>
      </w:r>
      <w:r>
        <w:rPr>
          <w:rStyle w:val="span"/>
          <w:rFonts w:ascii="Open Sans" w:eastAsia="Open Sans" w:hAnsi="Open Sans" w:cs="Open Sans"/>
          <w:b/>
          <w:bCs/>
          <w:caps/>
          <w:color w:val="909090"/>
          <w:spacing w:val="13"/>
          <w:sz w:val="16"/>
          <w:szCs w:val="16"/>
        </w:rPr>
        <w:t xml:space="preserve"> - </w:t>
      </w:r>
      <w:r>
        <w:rPr>
          <w:rStyle w:val="span"/>
          <w:rFonts w:ascii="Open Sans" w:eastAsia="Open Sans" w:hAnsi="Open Sans" w:cs="Open Sans"/>
          <w:b/>
          <w:bCs/>
          <w:caps/>
          <w:color w:val="909090"/>
          <w:spacing w:val="13"/>
          <w:sz w:val="16"/>
          <w:szCs w:val="16"/>
        </w:rPr>
        <w:t>Present</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Tax Accountant</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Deshpande Kulkarni &amp; Co.</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expr-seculli"/>
        <w:numPr>
          <w:ilvl w:val="0"/>
          <w:numId w:val="1"/>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Prepared and reviewed income tax returns for individuals, partnership firms, and companies across multiple assessment years.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Handled GST return filing, reconciliation of GSTR-1 and GSTR-3B, and input tax credit validation.</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Assisted clients during income tax assessments by preparing replies and supporting documents for authorities.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Managed TDS calculations, quarterly returns, and issuance of Form 16 and Form 16A.</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Coordinated with clients to collect financial data and clarify tax positions within reporting timelines.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Reviewed tax computations and identified savings opportunities while ensuring full statutory compliance.</w:t>
      </w:r>
    </w:p>
    <w:p>
      <w:pPr>
        <w:pStyle w:val="ullinth-last-child1"/>
        <w:numPr>
          <w:ilvl w:val="0"/>
          <w:numId w:val="1"/>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Supported senior consultants in tax audits and preparation of audit schedules and working papers.</w:t>
      </w:r>
    </w:p>
    <w:p>
      <w:pPr>
        <w:pStyle w:val="txt-caps"/>
        <w:pBdr>
          <w:top w:val="none" w:sz="0" w:space="1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Jun '18</w:t>
      </w:r>
      <w:r>
        <w:rPr>
          <w:rStyle w:val="span"/>
          <w:rFonts w:ascii="Open Sans" w:eastAsia="Open Sans" w:hAnsi="Open Sans" w:cs="Open Sans"/>
          <w:b/>
          <w:bCs/>
          <w:caps/>
          <w:color w:val="909090"/>
          <w:spacing w:val="13"/>
          <w:sz w:val="16"/>
          <w:szCs w:val="16"/>
        </w:rPr>
        <w:t xml:space="preserve"> - </w:t>
      </w:r>
      <w:r>
        <w:rPr>
          <w:rStyle w:val="span"/>
          <w:rFonts w:ascii="Open Sans" w:eastAsia="Open Sans" w:hAnsi="Open Sans" w:cs="Open Sans"/>
          <w:b/>
          <w:bCs/>
          <w:caps/>
          <w:color w:val="909090"/>
          <w:spacing w:val="13"/>
          <w:sz w:val="16"/>
          <w:szCs w:val="16"/>
        </w:rPr>
        <w:t>Jun '21</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Accounts Executive – Taxation</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SNR Accounting Solutions Pvt. Ltd.</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Nagpur</w:t>
      </w:r>
      <w:r>
        <w:rPr>
          <w:rStyle w:val="span"/>
          <w:rFonts w:ascii="Open Sans" w:eastAsia="Open Sans" w:hAnsi="Open Sans" w:cs="Open Sans"/>
          <w:color w:val="050505"/>
          <w:sz w:val="20"/>
          <w:szCs w:val="20"/>
        </w:rPr>
        <w:t xml:space="preserve"> </w:t>
      </w:r>
    </w:p>
    <w:p>
      <w:pPr>
        <w:pStyle w:val="expr-seculli"/>
        <w:numPr>
          <w:ilvl w:val="0"/>
          <w:numId w:val="2"/>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Maintained books of accounts and ensured accurate classification of income and expenses for tax purposes.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Assisted in preparation and filing of income tax returns under various heads of income.</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Supported GST registration, amendment, and cancellation processes for small business clients.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Performed monthly GST reconciliations to identify mismatches and resolve compliance gaps.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Handled TDS compliance including challan payments, returns filing, and statutory record maintenance.</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Prepared basic tax computation sheets and assisted seniors in client tax planning discussions.</w:t>
      </w:r>
    </w:p>
    <w:p>
      <w:pPr>
        <w:pStyle w:val="ullinth-last-child1"/>
        <w:numPr>
          <w:ilvl w:val="0"/>
          <w:numId w:val="2"/>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Communicated regularly with clients regarding compliance deadlines and document requirements.</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txt-caps"/>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Mar '08</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10th Standard</w:t>
      </w:r>
      <w:r>
        <w:rPr>
          <w:rFonts w:ascii="Open Sans" w:eastAsia="Open Sans" w:hAnsi="Open Sans" w:cs="Open Sans"/>
          <w:b/>
          <w:bCs/>
          <w:color w:val="050505"/>
          <w:spacing w:val="6"/>
          <w:sz w:val="20"/>
          <w:szCs w:val="20"/>
          <w:bdr w:val="none" w:sz="0" w:space="0" w:color="auto"/>
          <w:vertAlign w:val="baseline"/>
        </w:rPr>
        <w:t xml:space="preserve"> </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St. Paul's High School</w:t>
      </w:r>
      <w:r>
        <w:rPr>
          <w:rStyle w:val="span"/>
          <w:rFonts w:ascii="Open Sans" w:eastAsia="Open Sans" w:hAnsi="Open Sans" w:cs="Open Sans"/>
          <w:color w:val="050505"/>
          <w:sz w:val="20"/>
          <w:szCs w:val="20"/>
        </w:rPr>
        <w:t xml:space="preserve"> </w:t>
      </w:r>
      <w:r>
        <w:rPr>
          <w:rStyle w:val="span"/>
          <w:rFonts w:ascii="Open Sans" w:eastAsia="Open Sans" w:hAnsi="Open Sans" w:cs="Open Sans"/>
          <w:b/>
          <w:bCs/>
          <w:color w:val="909090"/>
          <w:spacing w:val="13"/>
          <w:sz w:val="16"/>
          <w:szCs w:val="16"/>
        </w:rPr>
        <w:t>  </w:t>
      </w:r>
      <w:r>
        <w:rPr>
          <w:rStyle w:val="span"/>
          <w:rFonts w:ascii="Open Sans" w:eastAsia="Open Sans" w:hAnsi="Open Sans" w:cs="Open Sans"/>
          <w:color w:val="050505"/>
          <w:sz w:val="20"/>
          <w:szCs w:val="20"/>
        </w:rPr>
        <w:t xml:space="preserve"> </w:t>
      </w:r>
    </w:p>
    <w:p>
      <w:pPr>
        <w:pStyle w:val="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txt-caps"/>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Mar '10</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12th Standard</w:t>
      </w:r>
      <w:r>
        <w:rPr>
          <w:rFonts w:ascii="Open Sans" w:eastAsia="Open Sans" w:hAnsi="Open Sans" w:cs="Open Sans"/>
          <w:b/>
          <w:bCs/>
          <w:color w:val="050505"/>
          <w:spacing w:val="6"/>
          <w:sz w:val="20"/>
          <w:szCs w:val="20"/>
          <w:bdr w:val="none" w:sz="0" w:space="0" w:color="auto"/>
          <w:vertAlign w:val="baseline"/>
        </w:rPr>
        <w:t xml:space="preserve"> </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St. Paul's High School</w:t>
      </w:r>
      <w:r>
        <w:rPr>
          <w:rStyle w:val="span"/>
          <w:rFonts w:ascii="Open Sans" w:eastAsia="Open Sans" w:hAnsi="Open Sans" w:cs="Open Sans"/>
          <w:color w:val="050505"/>
          <w:sz w:val="20"/>
          <w:szCs w:val="20"/>
        </w:rPr>
        <w:t xml:space="preserve"> </w:t>
      </w:r>
      <w:r>
        <w:rPr>
          <w:rStyle w:val="span"/>
          <w:rFonts w:ascii="Open Sans" w:eastAsia="Open Sans" w:hAnsi="Open Sans" w:cs="Open Sans"/>
          <w:b/>
          <w:bCs/>
          <w:color w:val="909090"/>
          <w:spacing w:val="13"/>
          <w:sz w:val="16"/>
          <w:szCs w:val="16"/>
        </w:rPr>
        <w:t>  </w:t>
      </w:r>
      <w:r>
        <w:rPr>
          <w:rStyle w:val="span"/>
          <w:rFonts w:ascii="Open Sans" w:eastAsia="Open Sans" w:hAnsi="Open Sans" w:cs="Open Sans"/>
          <w:color w:val="050505"/>
          <w:sz w:val="20"/>
          <w:szCs w:val="20"/>
        </w:rPr>
        <w:t xml:space="preserve"> </w:t>
      </w:r>
    </w:p>
    <w:p>
      <w:pPr>
        <w:pStyle w:val="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txt-caps"/>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Apr '13</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Bachelor of Commerce</w:t>
      </w:r>
      <w:r>
        <w:rPr>
          <w:rFonts w:ascii="Open Sans" w:eastAsia="Open Sans" w:hAnsi="Open Sans" w:cs="Open Sans"/>
          <w:b/>
          <w:bCs/>
          <w:color w:val="050505"/>
          <w:spacing w:val="6"/>
          <w:sz w:val="20"/>
          <w:szCs w:val="20"/>
          <w:bdr w:val="none" w:sz="0" w:space="0" w:color="auto"/>
          <w:vertAlign w:val="baseline"/>
        </w:rPr>
        <w:t xml:space="preserve"> </w:t>
      </w:r>
      <w:r>
        <w:rPr>
          <w:rStyle w:val="span"/>
          <w:rFonts w:ascii="Open Sans" w:eastAsia="Open Sans" w:hAnsi="Open Sans" w:cs="Open Sans"/>
          <w:b/>
          <w:bCs/>
          <w:color w:val="050505"/>
          <w:spacing w:val="6"/>
          <w:sz w:val="20"/>
          <w:szCs w:val="20"/>
        </w:rPr>
        <w:t xml:space="preserve">in </w:t>
      </w:r>
      <w:r>
        <w:rPr>
          <w:rStyle w:val="span"/>
          <w:rFonts w:ascii="Open Sans" w:eastAsia="Open Sans" w:hAnsi="Open Sans" w:cs="Open Sans"/>
          <w:b/>
          <w:bCs/>
          <w:color w:val="050505"/>
          <w:spacing w:val="6"/>
          <w:sz w:val="20"/>
          <w:szCs w:val="20"/>
        </w:rPr>
        <w:t>Taxation</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Rashtrasant Tukadoji Maharaj Nagpur University</w:t>
      </w:r>
      <w:r>
        <w:rPr>
          <w:rStyle w:val="span"/>
          <w:rFonts w:ascii="Open Sans" w:eastAsia="Open Sans" w:hAnsi="Open Sans" w:cs="Open Sans"/>
          <w:color w:val="050505"/>
          <w:sz w:val="20"/>
          <w:szCs w:val="20"/>
        </w:rPr>
        <w:t xml:space="preserve"> </w:t>
      </w:r>
      <w:r>
        <w:rPr>
          <w:rStyle w:val="span"/>
          <w:rFonts w:ascii="Open Sans" w:eastAsia="Open Sans" w:hAnsi="Open Sans" w:cs="Open Sans"/>
          <w:b/>
          <w:bCs/>
          <w:color w:val="909090"/>
          <w:spacing w:val="13"/>
          <w:sz w:val="16"/>
          <w:szCs w:val="16"/>
        </w:rPr>
        <w:t>  </w:t>
      </w:r>
      <w:r>
        <w:rPr>
          <w:rStyle w:val="span"/>
          <w:rFonts w:ascii="Open Sans" w:eastAsia="Open Sans" w:hAnsi="Open Sans" w:cs="Open Sans"/>
          <w:color w:val="050505"/>
          <w:sz w:val="20"/>
          <w:szCs w:val="20"/>
        </w:rPr>
        <w:t xml:space="preserve"> </w:t>
      </w:r>
    </w:p>
    <w:p>
      <w:pPr>
        <w:pStyle w:val="cmn-secsection-title"/>
        <w:pBdr>
          <w:top w:val="none" w:sz="0" w:space="0" w:color="auto"/>
          <w:left w:val="none" w:sz="0" w:space="0" w:color="auto"/>
          <w:bottom w:val="none" w:sz="0" w:space="0" w:color="auto"/>
          <w:right w:val="none" w:sz="0" w:space="0" w:color="auto"/>
        </w:pBdr>
        <w:spacing w:before="400" w:after="2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Skills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9246"/>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246" w:type="dxa"/>
            <w:tcMar>
              <w:top w:w="0" w:type="dxa"/>
              <w:left w:w="0" w:type="dxa"/>
              <w:bottom w:w="0" w:type="dxa"/>
              <w:right w:w="0" w:type="dxa"/>
            </w:tcMar>
            <w:vAlign w:val="bottom"/>
            <w:hideMark/>
          </w:tcPr>
          <w:p>
            <w:r>
              <w:pict>
                <v:shapetype id="_x0000_t202" coordsize="21600,21600" o:spt="202" path="m,l,21600r21600,l21600,xe">
                  <v:stroke joinstyle="miter"/>
                  <v:path gradientshapeok="t" o:connecttype="rect"/>
                </v:shapetype>
                <v:shape id="_x0000_s1025" type="#_x0000_t202" style="width:0;height:0;margin-top:0;margin-left:0;mso-position-horizontal:left;mso-position-vertical:top;mso-wrap-distance-bottom:10pt;mso-wrap-distance-top:10pt;mso-wrap-style:none;position:absolute;z-index:25166131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Income Tax Returns</w:t>
                        </w:r>
                      </w:p>
                    </w:txbxContent>
                  </v:textbox>
                  <w10:wrap type="square"/>
                </v:shape>
              </w:pict>
            </w:r>
            <w:r>
              <w:pict>
                <v:shape id="_x0000_s1026" type="#_x0000_t202" style="width:0;height:0;margin-top:0;margin-left:0;mso-position-horizontal:left;mso-position-vertical:top;mso-wrap-distance-bottom:10pt;mso-wrap-distance-top:10pt;mso-wrap-style:none;position:absolute;z-index:25166233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GST Compliance</w:t>
                        </w:r>
                      </w:p>
                    </w:txbxContent>
                  </v:textbox>
                  <w10:wrap type="square"/>
                </v:shape>
              </w:pict>
            </w:r>
            <w:r>
              <w:pict>
                <v:shape id="_x0000_s1027" type="#_x0000_t202" style="width:0;height:0;margin-top:0;margin-left:0;mso-position-horizontal:left;mso-position-vertical:top;mso-wrap-distance-bottom:10pt;mso-wrap-distance-top:10pt;mso-wrap-style:none;position:absolute;z-index:25166336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TDS Filing</w:t>
                        </w:r>
                      </w:p>
                    </w:txbxContent>
                  </v:textbox>
                  <w10:wrap type="square"/>
                </v:shape>
              </w:pict>
            </w:r>
            <w:r>
              <w:pict>
                <v:shape id="_x0000_s1028" type="#_x0000_t202" style="width:0;height:0;margin-top:0;margin-left:0;mso-position-horizontal:left;mso-position-vertical:top;mso-wrap-distance-bottom:10pt;mso-wrap-distance-top:10pt;mso-wrap-style:none;position:absolute;z-index:25166438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Tax Assessments</w:t>
                        </w:r>
                      </w:p>
                    </w:txbxContent>
                  </v:textbox>
                  <w10:wrap type="square"/>
                </v:shape>
              </w:pict>
            </w:r>
            <w:r>
              <w:pict>
                <v:shape id="_x0000_s1029" type="#_x0000_t202" style="width:0;height:0;margin-top:0;margin-left:0;mso-position-horizontal:left;mso-position-vertical:top;mso-wrap-distance-bottom:10pt;mso-wrap-distance-top:10pt;mso-wrap-style:none;position:absolute;z-index:251665408"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Tax Audit Support</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8697"/>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8697" w:type="dxa"/>
            <w:tcMar>
              <w:top w:w="0" w:type="dxa"/>
              <w:left w:w="0" w:type="dxa"/>
              <w:bottom w:w="0" w:type="dxa"/>
              <w:right w:w="0" w:type="dxa"/>
            </w:tcMar>
            <w:vAlign w:val="bottom"/>
            <w:hideMark/>
          </w:tcPr>
          <w:p>
            <w:r>
              <w:pict>
                <v:shape id="_x0000_s1030" type="#_x0000_t202" style="width:0;height:0;margin-top:0;margin-left:0;mso-position-horizontal:left;mso-position-vertical:top;mso-wrap-distance-bottom:10pt;mso-wrap-distance-top:10pt;mso-wrap-style:none;position:absolute;z-index:25166643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Client Advisory</w:t>
                        </w:r>
                      </w:p>
                    </w:txbxContent>
                  </v:textbox>
                  <w10:wrap type="square"/>
                </v:shape>
              </w:pict>
            </w:r>
            <w:r>
              <w:pict>
                <v:shape id="_x0000_s1031" type="#_x0000_t202" style="width:0;height:0;margin-top:0;margin-left:0;mso-position-horizontal:left;mso-position-vertical:top;mso-wrap-distance-bottom:10pt;mso-wrap-distance-top:10pt;mso-wrap-style:none;position:absolute;z-index:25166745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Tax Reconciliations</w:t>
                        </w:r>
                      </w:p>
                    </w:txbxContent>
                  </v:textbox>
                  <w10:wrap type="square"/>
                </v:shape>
              </w:pict>
            </w:r>
            <w:r>
              <w:pict>
                <v:shape id="_x0000_s1032" type="#_x0000_t202" style="width:0;height:0;margin-top:0;margin-left:0;mso-position-horizontal:left;mso-position-vertical:top;mso-wrap-distance-bottom:10pt;mso-wrap-distance-top:10pt;mso-wrap-style:none;position:absolute;z-index:25166848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Compliance Documentation</w:t>
                        </w:r>
                      </w:p>
                    </w:txbxContent>
                  </v:textbox>
                  <w10:wrap type="square"/>
                </v:shape>
              </w:pict>
            </w:r>
            <w:r>
              <w:pict>
                <v:shape id="_x0000_s1033" type="#_x0000_t202" style="width:0;height:0;margin-top:0;margin-left:0;mso-position-horizontal:left;mso-position-vertical:top;mso-wrap-distance-bottom:10pt;mso-wrap-distance-top:10pt;mso-wrap-style:none;position:absolute;z-index:25166950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Notices Handling</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2337"/>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2337" w:type="dxa"/>
            <w:tcMar>
              <w:top w:w="0" w:type="dxa"/>
              <w:left w:w="0" w:type="dxa"/>
              <w:bottom w:w="0" w:type="dxa"/>
              <w:right w:w="0" w:type="dxa"/>
            </w:tcMar>
            <w:vAlign w:val="bottom"/>
            <w:hideMark/>
          </w:tcPr>
          <w:p>
            <w:r>
              <w:pict>
                <v:shape id="_x0000_s1034" type="#_x0000_t202" style="width:0;height:0;margin-top:0;margin-left:0;mso-position-horizontal:left;mso-position-vertical:top;mso-wrap-distance-bottom:10pt;mso-wrap-distance-top:10pt;mso-wrap-style:none;position:absolute;z-index:251670528"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Accounting Software</w:t>
                        </w:r>
                      </w:p>
                    </w:txbxContent>
                  </v:textbox>
                  <w10:wrap type="square"/>
                </v:shape>
              </w:pict>
            </w:r>
          </w:p>
        </w:tc>
      </w:tr>
    </w:tbl>
    <w:p>
      <w:pPr>
        <w:pStyle w:val="cmn-secsection-title"/>
        <w:pBdr>
          <w:top w:val="none" w:sz="0" w:space="0" w:color="auto"/>
          <w:left w:val="none" w:sz="0" w:space="0" w:color="auto"/>
          <w:bottom w:val="none" w:sz="0" w:space="0" w:color="auto"/>
          <w:right w:val="none" w:sz="0" w:space="0" w:color="auto"/>
        </w:pBdr>
        <w:spacing w:before="400" w:after="2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Certifications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9038"/>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038" w:type="dxa"/>
            <w:tcMar>
              <w:top w:w="0" w:type="dxa"/>
              <w:left w:w="0" w:type="dxa"/>
              <w:bottom w:w="0" w:type="dxa"/>
              <w:right w:w="0" w:type="dxa"/>
            </w:tcMar>
            <w:vAlign w:val="bottom"/>
            <w:hideMark/>
          </w:tcPr>
          <w:p>
            <w:r>
              <w:pict>
                <v:shape id="_x0000_s1035" type="#_x0000_t202" style="width:0;height:0;margin-top:0;margin-left:0;mso-position-horizontal:left;mso-position-vertical:top;mso-wrap-distance-bottom:10pt;mso-wrap-distance-top:10pt;mso-wrap-style:none;position:absolute;z-index:25167155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Advanced Income Tax Practice Certification</w:t>
                        </w:r>
                      </w:p>
                    </w:txbxContent>
                  </v:textbox>
                  <w10:wrap type="square"/>
                </v:shape>
              </w:pict>
            </w:r>
            <w:r>
              <w:pict>
                <v:shape id="_x0000_s1036" type="#_x0000_t202" style="width:0;height:0;margin-top:0;margin-left:0;mso-position-horizontal:left;mso-position-vertical:top;mso-wrap-distance-bottom:10pt;mso-wrap-distance-top:10pt;mso-wrap-style:none;position:absolute;z-index:25167257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GST Return Filing and Compliance Certification</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6677"/>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6677" w:type="dxa"/>
            <w:tcMar>
              <w:top w:w="0" w:type="dxa"/>
              <w:left w:w="0" w:type="dxa"/>
              <w:bottom w:w="0" w:type="dxa"/>
              <w:right w:w="0" w:type="dxa"/>
            </w:tcMar>
            <w:vAlign w:val="bottom"/>
            <w:hideMark/>
          </w:tcPr>
          <w:p>
            <w:r>
              <w:pict>
                <v:shape id="_x0000_s1037" type="#_x0000_t202" style="width:0;height:0;margin-top:0;margin-left:0;mso-position-horizontal:left;mso-position-vertical:top;mso-wrap-distance-bottom:10pt;mso-wrap-distance-top:10pt;mso-wrap-style:none;position:absolute;z-index:25167360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CA Intermediate Group I, Institute of Chartered Accountants of India</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5141"/>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5141" w:type="dxa"/>
            <w:tcMar>
              <w:top w:w="0" w:type="dxa"/>
              <w:left w:w="0" w:type="dxa"/>
              <w:bottom w:w="0" w:type="dxa"/>
              <w:right w:w="0" w:type="dxa"/>
            </w:tcMar>
            <w:vAlign w:val="bottom"/>
            <w:hideMark/>
          </w:tcPr>
          <w:p>
            <w:r>
              <w:pict>
                <v:shape id="_x0000_s1038" type="#_x0000_t202" style="width:0;height:0;margin-top:0;margin-left:0;mso-position-horizontal:left;mso-position-vertical:top;mso-wrap-distance-bottom:10pt;mso-wrap-distance-top:10pt;mso-wrap-style:none;position:absolute;z-index:25167462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GST Practitioner Certification, Government of India</w:t>
                        </w:r>
                      </w:p>
                    </w:txbxContent>
                  </v:textbox>
                  <w10:wrap type="square"/>
                </v:shape>
              </w:pic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Projects</w:t>
      </w:r>
    </w:p>
    <w:p>
      <w:pPr>
        <w:pStyle w:val="light-txt"/>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505050"/>
          <w:sz w:val="20"/>
          <w:szCs w:val="20"/>
          <w:bdr w:val="none" w:sz="0" w:space="0" w:color="auto"/>
          <w:vertAlign w:val="baseline"/>
        </w:rPr>
      </w:pPr>
      <w:r>
        <w:rPr>
          <w:rFonts w:ascii="Open Sans" w:eastAsia="Open Sans" w:hAnsi="Open Sans" w:cs="Open Sans"/>
          <w:sz w:val="20"/>
          <w:szCs w:val="20"/>
          <w:bdr w:val="none" w:sz="0" w:space="0" w:color="auto"/>
          <w:vertAlign w:val="baseline"/>
        </w:rPr>
        <w:t>Income Tax Scrutiny Support project for salaried and business clients during assessment proceedings. GST Reconciliation project for a trading firm to resolve mismatches and claim eligible input tax credit.</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Industry</w:t>
      </w:r>
    </w:p>
    <w:p>
      <w:pPr>
        <w:pStyle w:val="light-txt"/>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505050"/>
          <w:sz w:val="20"/>
          <w:szCs w:val="20"/>
          <w:bdr w:val="none" w:sz="0" w:space="0" w:color="auto"/>
          <w:vertAlign w:val="baseline"/>
        </w:rPr>
      </w:pPr>
      <w:r>
        <w:rPr>
          <w:rFonts w:ascii="Open Sans" w:eastAsia="Open Sans" w:hAnsi="Open Sans" w:cs="Open Sans"/>
          <w:sz w:val="20"/>
          <w:szCs w:val="20"/>
          <w:bdr w:val="none" w:sz="0" w:space="0" w:color="auto"/>
          <w:vertAlign w:val="baseline"/>
        </w:rPr>
        <w:t>Taxation and Accounting Services</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Accomplishments</w:t>
      </w:r>
    </w:p>
    <w:p>
      <w:pPr>
        <w:pStyle w:val="ulli"/>
        <w:numPr>
          <w:ilvl w:val="0"/>
          <w:numId w:val="3"/>
        </w:numPr>
        <w:pBdr>
          <w:top w:val="none" w:sz="0" w:space="0" w:color="auto"/>
          <w:left w:val="none" w:sz="0" w:space="0" w:color="auto"/>
          <w:bottom w:val="none" w:sz="0" w:space="0" w:color="auto"/>
          <w:right w:val="none" w:sz="0" w:space="0" w:color="auto"/>
        </w:pBdr>
        <w:spacing w:before="160" w:after="10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Appreciated at Deshpande Kulkarni &amp; Co. for handling assessment cases with timely and accurate submissions.</w:t>
      </w:r>
    </w:p>
    <w:p>
      <w:pPr>
        <w:pStyle w:val="ulli"/>
        <w:numPr>
          <w:ilvl w:val="0"/>
          <w:numId w:val="3"/>
        </w:numPr>
        <w:spacing w:after="10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Recognized at Deshpande Kulkarni &amp; Co. for improving GST reconciliation accuracy for key clients.</w:t>
      </w:r>
    </w:p>
    <w:p>
      <w:pPr>
        <w:pStyle w:val="ullinth-last-child1"/>
        <w:numPr>
          <w:ilvl w:val="0"/>
          <w:numId w:val="3"/>
        </w:numPr>
        <w:pBdr>
          <w:left w:val="none" w:sz="0" w:space="10" w:color="auto"/>
        </w:pBdr>
        <w:spacing w:after="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Awarded at SNR Accounting Solutions for maintaining zero late-fee GST filings for one financial year.</w:t>
      </w:r>
    </w:p>
    <w:p>
      <w:pPr>
        <w:pStyle w:val="refrencesection-title"/>
        <w:pBdr>
          <w:top w:val="none" w:sz="0" w:space="0" w:color="auto"/>
          <w:left w:val="none" w:sz="0" w:space="0" w:color="auto"/>
          <w:bottom w:val="none" w:sz="0" w:space="0" w:color="auto"/>
          <w:right w:val="none" w:sz="0" w:space="0" w:color="auto"/>
        </w:pBdr>
        <w:spacing w:before="400" w:after="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References</w:t>
      </w:r>
    </w:p>
    <w:p>
      <w:pPr>
        <w:pStyle w:val="sectionrefrenceparagraphrefUponReq"/>
        <w:pBdr>
          <w:top w:val="none" w:sz="0" w:space="0" w:color="auto"/>
          <w:left w:val="none" w:sz="0" w:space="0" w:color="auto"/>
          <w:bottom w:val="none" w:sz="0" w:space="0" w:color="auto"/>
          <w:right w:val="none" w:sz="0" w:space="0" w:color="auto"/>
        </w:pBdr>
        <w:spacing w:before="0" w:after="0" w:line="240" w:lineRule="atLeast"/>
        <w:ind w:left="0" w:right="0"/>
        <w:textAlignment w:val="top"/>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References available upon request</w:t>
      </w:r>
    </w:p>
    <w:sectPr>
      <w:pgSz w:w="12240" w:h="15840"/>
      <w:pgMar w:top="880" w:right="840" w:bottom="880" w:left="840" w:header="720" w:footer="720"/>
      <w:cols w:space="720"/>
    </w:sectPr>
  </w:body>
</w:document>
</file>

<file path=word/fontTable.xml><?xml version="1.0" encoding="utf-8"?>
<w:fonts xmlns:r="http://schemas.openxmlformats.org/officeDocument/2006/relationships" xmlns:w="http://schemas.openxmlformats.org/wordprocessingml/2006/main">
  <w:font w:name="Cambria Math">
    <w:charset w:val="00"/>
    <w:family w:val="auto"/>
    <w:pitch w:val="default"/>
    <w:sig w:usb0="00000000" w:usb1="00000000" w:usb2="00000000" w:usb3="00000000" w:csb0="00000001" w:csb1="00000000"/>
    <w:embedRegular r:id="rId1" w:fontKey="{26B8CED3-07D6-41F8-B3C0-1C25A046E2AB}"/>
  </w:font>
  <w:font w:name="Courier New">
    <w:charset w:val="00"/>
    <w:family w:val="auto"/>
    <w:pitch w:val="default"/>
  </w:font>
  <w:font w:name="Manrope">
    <w:charset w:val="00"/>
    <w:family w:val="auto"/>
    <w:pitch w:val="default"/>
    <w:embedRegular r:id="rId2" w:fontKey="{F1B6A928-117D-4485-B774-CD2023840D5F}"/>
  </w:font>
  <w:font w:name="Open Sans">
    <w:charset w:val="00"/>
    <w:family w:val="auto"/>
    <w:pitch w:val="default"/>
    <w:sig w:usb0="00000000" w:usb1="00000000" w:usb2="00000000" w:usb3="00000000" w:csb0="00000001" w:csb1="00000000"/>
    <w:embedRegular r:id="rId3" w:fontKey="{19DDFBE6-D2F5-4A25-9F9A-4C1E7CE4C3A5}"/>
    <w:embedBold r:id="rId4" w:fontKey="{21386EFE-4290-4D0D-9333-75D3580A44E9}"/>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90909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90909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90909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fontsize">
    <w:name w:val="document_fontsize"/>
    <w:basedOn w:val="Normal"/>
    <w:rPr>
      <w:sz w:val="20"/>
      <w:szCs w:val="20"/>
    </w:rPr>
  </w:style>
  <w:style w:type="paragraph" w:customStyle="1" w:styleId="top-section">
    <w:name w:val="top-section"/>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txt-bold">
    <w:name w:val="txt-bold"/>
    <w:basedOn w:val="DefaultParagraphFont"/>
    <w:rPr>
      <w:b/>
      <w:bCs/>
    </w:rPr>
  </w:style>
  <w:style w:type="character" w:customStyle="1" w:styleId="span">
    <w:name w:val="span"/>
    <w:basedOn w:val="DefaultParagraphFont"/>
    <w:rPr>
      <w:bdr w:val="none" w:sz="0" w:space="0" w:color="auto"/>
      <w:vertAlign w:val="baseline"/>
    </w:rPr>
  </w:style>
  <w:style w:type="table" w:customStyle="1" w:styleId="firstsection">
    <w:name w:val="firstsection"/>
    <w:basedOn w:val="TableNormal"/>
    <w:tblPr/>
  </w:style>
  <w:style w:type="character" w:customStyle="1" w:styleId="skn-slo5mid-sectionmiddle-boxcntc-secparagraph">
    <w:name w:val="skn-slo5_mid-section_middle-box_cntc-sec_paragraph"/>
    <w:basedOn w:val="DefaultParagraphFont"/>
  </w:style>
  <w:style w:type="paragraph" w:customStyle="1" w:styleId="address">
    <w:name w:val="address"/>
    <w:basedOn w:val="Normal"/>
    <w:pPr>
      <w:jc w:val="center"/>
    </w:pPr>
  </w:style>
  <w:style w:type="character" w:customStyle="1" w:styleId="add-details">
    <w:name w:val="add-details"/>
    <w:basedOn w:val="DefaultParagraphFont"/>
  </w:style>
  <w:style w:type="character" w:customStyle="1" w:styleId="addressadd-detailsspan">
    <w:name w:val="address_add-details_span"/>
    <w:basedOn w:val="DefaultParagraphFont"/>
    <w:rPr>
      <w:color w:val="505050"/>
    </w:rPr>
  </w:style>
  <w:style w:type="table" w:customStyle="1" w:styleId="cntc-sec">
    <w:name w:val="cntc-sec"/>
    <w:basedOn w:val="TableNormal"/>
    <w:tblPr/>
  </w:style>
  <w:style w:type="character" w:customStyle="1" w:styleId="parent-container1left-boxsumm-sec">
    <w:name w:val="parent-container1_left-box_summ-sec"/>
    <w:basedOn w:val="DefaultParagraphFont"/>
  </w:style>
  <w:style w:type="paragraph" w:customStyle="1" w:styleId="firstparagraphparagraph">
    <w:name w:val="firstparagraph_paragraph"/>
    <w:basedOn w:val="Normal"/>
    <w:pPr>
      <w:pBdr>
        <w:top w:val="none" w:sz="0" w:space="0" w:color="auto"/>
      </w:pBdr>
    </w:pPr>
  </w:style>
  <w:style w:type="paragraph" w:customStyle="1" w:styleId="summ-gap-div">
    <w:name w:val="summ-gap-div"/>
    <w:basedOn w:val="Normal"/>
    <w:pPr>
      <w:spacing w:line="80" w:lineRule="atLeast"/>
    </w:pPr>
    <w:rPr>
      <w:sz w:val="8"/>
      <w:szCs w:val="8"/>
    </w:rPr>
  </w:style>
  <w:style w:type="paragraph" w:customStyle="1" w:styleId="light-txt">
    <w:name w:val="light-txt"/>
    <w:basedOn w:val="Normal"/>
    <w:rPr>
      <w:color w:val="505050"/>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table" w:customStyle="1" w:styleId="parent-container1left-box">
    <w:name w:val="parent-container1_left-box"/>
    <w:basedOn w:val="TableNormal"/>
    <w:tblPr/>
  </w:style>
  <w:style w:type="paragraph" w:customStyle="1" w:styleId="section">
    <w:name w:val="section"/>
    <w:basedOn w:val="Normal"/>
  </w:style>
  <w:style w:type="paragraph" w:customStyle="1" w:styleId="heading">
    <w:name w:val="heading"/>
    <w:basedOn w:val="Normal"/>
    <w:pPr>
      <w:jc w:val="left"/>
    </w:pPr>
    <w:rPr>
      <w:b/>
      <w:bCs/>
    </w:rPr>
  </w:style>
  <w:style w:type="paragraph" w:customStyle="1" w:styleId="section-title">
    <w:name w:val="section-title"/>
    <w:basedOn w:val="Normal"/>
    <w:pPr>
      <w:spacing w:line="300" w:lineRule="atLeast"/>
    </w:pPr>
    <w:rPr>
      <w:spacing w:val="23"/>
      <w:sz w:val="24"/>
      <w:szCs w:val="24"/>
    </w:rPr>
  </w:style>
  <w:style w:type="paragraph" w:customStyle="1" w:styleId="disp-block">
    <w:name w:val="disp-block"/>
    <w:basedOn w:val="Normal"/>
  </w:style>
  <w:style w:type="paragraph" w:customStyle="1" w:styleId="txt-caps">
    <w:name w:val="txt-caps"/>
    <w:basedOn w:val="Normal"/>
    <w:rPr>
      <w:caps/>
    </w:rPr>
  </w:style>
  <w:style w:type="character" w:customStyle="1" w:styleId="sprtr">
    <w:name w:val="sprtr"/>
    <w:basedOn w:val="DefaultParagraphFont"/>
  </w:style>
  <w:style w:type="character" w:customStyle="1" w:styleId="sprtr1">
    <w:name w:val="sprtr1"/>
    <w:basedOn w:val="DefaultParagraphFont"/>
    <w:rPr>
      <w:color w:val="909090"/>
    </w:rPr>
  </w:style>
  <w:style w:type="character" w:customStyle="1" w:styleId="gap-before">
    <w:name w:val="gap-before"/>
    <w:basedOn w:val="DefaultParagraphFont"/>
    <w:rPr>
      <w:rFonts w:ascii="Manrope" w:eastAsia="Manrope" w:hAnsi="Manrope" w:cs="Manrope"/>
      <w:sz w:val="20"/>
      <w:szCs w:val="20"/>
    </w:rPr>
  </w:style>
  <w:style w:type="paragraph" w:customStyle="1" w:styleId="expr-seculli">
    <w:name w:val="expr-sec_ul_li"/>
    <w:basedOn w:val="Normal"/>
    <w:rPr>
      <w:color w:val="505050"/>
    </w:rPr>
  </w:style>
  <w:style w:type="paragraph" w:customStyle="1" w:styleId="ullinth-last-child1">
    <w:name w:val="ul_li_nth-last-child(1)"/>
    <w:basedOn w:val="Normal"/>
  </w:style>
  <w:style w:type="paragraph" w:customStyle="1" w:styleId="paragraph">
    <w:name w:val="paragraph"/>
    <w:basedOn w:val="Normal"/>
    <w:pPr>
      <w:pBdr>
        <w:top w:val="none" w:sz="0" w:space="10" w:color="auto"/>
      </w:pBdr>
    </w:pPr>
  </w:style>
  <w:style w:type="character" w:customStyle="1" w:styleId="spanempty">
    <w:name w:val="span_empty"/>
    <w:basedOn w:val="DefaultParagraphFont"/>
    <w:rPr>
      <w:vanish/>
    </w:rPr>
  </w:style>
  <w:style w:type="paragraph" w:customStyle="1" w:styleId="edu-secfirstparagraphparagraph">
    <w:name w:val="edu-sec_firstparagraph_paragraph"/>
    <w:basedOn w:val="Normal"/>
    <w:pPr>
      <w:pBdr>
        <w:top w:val="none" w:sz="0" w:space="0" w:color="auto"/>
      </w:pBdr>
    </w:pPr>
  </w:style>
  <w:style w:type="character" w:customStyle="1" w:styleId="divCharacter">
    <w:name w:val="div Character"/>
    <w:basedOn w:val="DefaultParagraphFont"/>
    <w:rPr>
      <w:bdr w:val="none" w:sz="0" w:space="0" w:color="auto"/>
      <w:vertAlign w:val="baseline"/>
    </w:rPr>
  </w:style>
  <w:style w:type="character" w:customStyle="1" w:styleId="spce-beforegpa">
    <w:name w:val="spce-beforegpa"/>
    <w:basedOn w:val="DefaultParagraphFont"/>
    <w:rPr>
      <w:b/>
      <w:bCs/>
      <w:color w:val="909090"/>
      <w:spacing w:val="13"/>
      <w:sz w:val="16"/>
      <w:szCs w:val="16"/>
    </w:rPr>
  </w:style>
  <w:style w:type="paragraph" w:customStyle="1" w:styleId="similar-secparagraph">
    <w:name w:val="similar-sec_paragraph"/>
    <w:basedOn w:val="Normal"/>
  </w:style>
  <w:style w:type="paragraph" w:customStyle="1" w:styleId="txt-center">
    <w:name w:val="txt-center"/>
    <w:basedOn w:val="Normal"/>
    <w:pPr>
      <w:jc w:val="left"/>
    </w:pPr>
  </w:style>
  <w:style w:type="paragraph" w:customStyle="1" w:styleId="cmn-secsection-title">
    <w:name w:val="cmn-sec_section-title"/>
    <w:basedOn w:val="Normal"/>
  </w:style>
  <w:style w:type="character" w:customStyle="1" w:styleId="sectioncmn-secsinglecolumnskill-container">
    <w:name w:val="section_cmn-sec_singlecolumn_skill-container"/>
    <w:basedOn w:val="DefaultParagraphFont"/>
  </w:style>
  <w:style w:type="paragraph" w:customStyle="1" w:styleId="cmn-secparagraph">
    <w:name w:val="cmn-sec_paragraph"/>
    <w:basedOn w:val="Normal"/>
    <w:pPr>
      <w:pBdr>
        <w:top w:val="none" w:sz="0" w:space="0" w:color="auto"/>
      </w:pBdr>
    </w:pPr>
    <w:rPr>
      <w:color w:val="909090"/>
    </w:rPr>
  </w:style>
  <w:style w:type="paragraph" w:customStyle="1" w:styleId="cmn-secparagraphnth-last-child2">
    <w:name w:val="cmn-sec_paragraph_nth-last-child(2)"/>
    <w:basedOn w:val="Normal"/>
  </w:style>
  <w:style w:type="paragraph" w:customStyle="1" w:styleId="cmn-secparagraphnth-last-child1">
    <w:name w:val="cmn-sec_paragraph_nth-last-child(1)"/>
    <w:basedOn w:val="Normal"/>
  </w:style>
  <w:style w:type="paragraph" w:customStyle="1" w:styleId="sectioncmn-secsinglecolumnskill-containerParagraph">
    <w:name w:val="section_cmn-sec_singlecolumn_skill-container Paragraph"/>
    <w:basedOn w:val="Normal"/>
  </w:style>
  <w:style w:type="table" w:customStyle="1" w:styleId="sectioncmn-secsinglecolumn">
    <w:name w:val="section_cmn-sec_singlecolumn"/>
    <w:basedOn w:val="TableNormal"/>
    <w:tblPr/>
  </w:style>
  <w:style w:type="paragraph" w:customStyle="1" w:styleId="ulli">
    <w:name w:val="ul_li"/>
    <w:basedOn w:val="Normal"/>
    <w:pPr>
      <w:pBdr>
        <w:top w:val="none" w:sz="0" w:space="0" w:color="auto"/>
        <w:left w:val="none" w:sz="0" w:space="10" w:color="auto"/>
        <w:bottom w:val="none" w:sz="0" w:space="0" w:color="auto"/>
        <w:right w:val="none" w:sz="0" w:space="0" w:color="auto"/>
      </w:pBdr>
    </w:pPr>
  </w:style>
  <w:style w:type="paragraph" w:customStyle="1" w:styleId="refrencesection-title">
    <w:name w:val="refrence_section-title"/>
    <w:basedOn w:val="Normal"/>
  </w:style>
  <w:style w:type="paragraph" w:customStyle="1" w:styleId="sectionrefrenceparagraphrefUponReq">
    <w:name w:val="section_refrence_paragraph_refUponReq"/>
    <w:basedOn w:val="Normal"/>
    <w:pPr>
      <w:pBdr>
        <w:top w:val="none" w:sz="0" w:space="0" w:color="auto"/>
        <w:left w:val="none" w:sz="0" w:space="0" w:color="auto"/>
        <w:bottom w:val="none" w:sz="0" w:space="0" w:color="auto"/>
        <w:right w:val="none" w:sz="0" w:space="0" w:color="auto"/>
      </w:pBd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Verma</dc:title>
  <cp:revision>0</cp:revision>
</cp:coreProperties>
</file>