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Ankit</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Sharma</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E0A83A"/>
                <w:sz w:val="28"/>
                <w:szCs w:val="28"/>
              </w:rPr>
            </w:pPr>
            <w:r>
              <w:rPr>
                <w:rStyle w:val="skn-mlz2anyCharacter"/>
                <w:rFonts w:ascii="Open Sans" w:eastAsia="Open Sans" w:hAnsi="Open Sans" w:cs="Open Sans"/>
                <w:b/>
                <w:bCs/>
                <w:caps w:val="0"/>
              </w:rPr>
              <w:t>Staff Financial Auditor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E0A83A"/>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E0A83A"/>
                <w:tblLayout w:type="fixed"/>
                <w:tblCellMar>
                  <w:top w:w="0" w:type="dxa"/>
                  <w:left w:w="0" w:type="dxa"/>
                  <w:bottom w:w="0" w:type="dxa"/>
                  <w:right w:w="0" w:type="dxa"/>
                </w:tblCellMar>
                <w:tblLook w:val="05E0"/>
              </w:tblPrEx>
              <w:trPr>
                <w:tblCellSpacing w:w="0" w:type="dxa"/>
              </w:trPr>
              <w:tc>
                <w:tcPr>
                  <w:tcW w:w="5510" w:type="dxa"/>
                  <w:shd w:val="clear" w:color="auto" w:fill="E9C275"/>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E9C275"/>
                  <w:tcMar>
                    <w:top w:w="120" w:type="dxa"/>
                    <w:left w:w="0" w:type="dxa"/>
                    <w:bottom w:w="0" w:type="dxa"/>
                    <w:right w:w="0" w:type="dxa"/>
                  </w:tcMar>
                  <w:vAlign w:val="top"/>
                  <w:hideMark/>
                </w:tcPr>
                <w:p/>
              </w:tc>
              <w:tc>
                <w:tcPr>
                  <w:tcW w:w="5510" w:type="dxa"/>
                  <w:shd w:val="clear" w:color="auto" w:fill="E9C275"/>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ankit.sharma@example.com</w:t>
                  </w:r>
                </w:p>
              </w:tc>
            </w:tr>
            <w:tr>
              <w:tblPrEx>
                <w:tblW w:w="0" w:type="auto"/>
                <w:tblCellSpacing w:w="0" w:type="dxa"/>
                <w:tblInd w:w="0" w:type="dxa"/>
                <w:shd w:val="clear" w:color="auto" w:fill="E0A83A"/>
                <w:tblLayout w:type="fixed"/>
                <w:tblCellMar>
                  <w:top w:w="0" w:type="dxa"/>
                  <w:left w:w="0" w:type="dxa"/>
                  <w:bottom w:w="0" w:type="dxa"/>
                  <w:right w:w="0" w:type="dxa"/>
                </w:tblCellMar>
                <w:tblLook w:val="05E0"/>
              </w:tblPrEx>
              <w:trPr>
                <w:tblCellSpacing w:w="0" w:type="dxa"/>
              </w:trPr>
              <w:tc>
                <w:tcPr>
                  <w:tcW w:w="5510" w:type="dxa"/>
                  <w:shd w:val="clear" w:color="auto" w:fill="E9C275"/>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Pune, Maharashtra411057</w:t>
                  </w:r>
                </w:p>
              </w:tc>
              <w:tc>
                <w:tcPr>
                  <w:tcW w:w="480" w:type="dxa"/>
                  <w:shd w:val="clear" w:color="auto" w:fill="E9C275"/>
                  <w:tcMar>
                    <w:top w:w="120" w:type="dxa"/>
                    <w:left w:w="0" w:type="dxa"/>
                    <w:bottom w:w="160" w:type="dxa"/>
                    <w:right w:w="0" w:type="dxa"/>
                  </w:tcMar>
                  <w:vAlign w:val="top"/>
                  <w:hideMark/>
                </w:tcPr>
                <w:p/>
              </w:tc>
              <w:tc>
                <w:tcPr>
                  <w:tcW w:w="5510" w:type="dxa"/>
                  <w:shd w:val="clear" w:color="auto" w:fill="E9C275"/>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12 September 1995</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f9eed8"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Culinary professional experienced in executing audit procedures and verifying financial records for accuracy and compliance. Skilled in risk identification and control testing, with strong abilities in audit documentation and client coordination. Offering expertise in statutory compliance and financial verification to support audit activities.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f9eed8"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Audit Execution</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Internal Audit Support</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Statutory Compliance</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Financial Verification</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Risk Identification</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Audit Documentation</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Control Testing</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Accounting Standards</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Client Coordination</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Reporting Support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f9eed8"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ICAI Certificate Course on GST</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ICAI Certificate Course on Concurrent Audit</w:t>
            </w:r>
          </w:p>
          <w:p>
            <w:pPr>
              <w:pStyle w:val="skn-mlz2any"/>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CA Intermediate, ICAI</w:t>
            </w:r>
          </w:p>
          <w:p>
            <w:pPr>
              <w:pStyle w:val="skn-mlz2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Certificate Course on Accounting Standards, ICAI</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f9eed8"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f9eed8"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Staff Financial Auditor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Grant Thornton India</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Jul 2021</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Pune</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5"/>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Executed audit procedures for statutory and internal audits under guidance of senior auditors and audit managers.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Verified financial records, vouchers, and supporting documents to ensure accuracy and regulatory compliance.</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Performed control testing and documented findings for review by senior audit team members.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risk assessment activities by identifying control gaps and unusual financial transactions.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detailed audit working papers following firm methodology and audit documentation standards.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with client finance teams to obtain audit evidence and clarify audit queries.</w:t>
            </w:r>
          </w:p>
          <w:p>
            <w:pPr>
              <w:pStyle w:val="skn-mlz2expr-sec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audit closure activities and assisted in drafting audit observations and summaries.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Audit Associate</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RSM India</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2019</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Jun 2021</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Mumbai</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6"/>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statutory audit engagements by performing substantive testing and compliance verification tasks.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Checked ledger balances, reconciliations, and schedules to confirm financial data accuracy.</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analytical procedures to identify variances and potential risk areas.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seniors in preparing audit reports and presenting findings to internal teams.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Ensured compliance with Companies Act and applicable accounting standards during audits.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Maintained organized audit files and ensured timely completion of assigned audit sections.</w:t>
            </w:r>
          </w:p>
          <w:p>
            <w:pPr>
              <w:pStyle w:val="skn-mlz2expr-secullinth-last-child1"/>
              <w:numPr>
                <w:ilvl w:val="0"/>
                <w:numId w:val="16"/>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with internal audit teams to support internal control and process reviews.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f9eed8"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10th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Delhi Public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2011</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12th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Delhi Public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2013</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Commerce (B.Com)</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Accounting</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University of Rajasthan</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Apr 2016</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f9eed8"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Internal Control Review Project, Assisted in reviewing internal controls for a mid-sized manufacturing company. Statutory Audit Support Project, Supported year-end statutory audit for a service sector client.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f9eed8"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Accomplishments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ulli"/>
              <w:numPr>
                <w:ilvl w:val="0"/>
                <w:numId w:val="17"/>
              </w:numPr>
              <w:pBdr>
                <w:top w:val="none" w:sz="0" w:space="0" w:color="auto"/>
                <w:left w:val="none" w:sz="0" w:space="0" w:color="auto"/>
                <w:bottom w:val="none" w:sz="0" w:space="0" w:color="auto"/>
                <w:right w:val="none" w:sz="0" w:space="0" w:color="auto"/>
              </w:pBdr>
              <w:spacing w:before="160"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Completed multiple audit assignments on time at Grant Thornton India with positive quality review feedback.</w:t>
            </w:r>
          </w:p>
          <w:p>
            <w:pPr>
              <w:pStyle w:val="skn-mlz2ulli"/>
              <w:numPr>
                <w:ilvl w:val="0"/>
                <w:numId w:val="17"/>
              </w:numPr>
              <w:pBdr>
                <w:top w:val="none" w:sz="0" w:space="0"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Recognized at RSM India for accuracy and consistency in audit documentation.</w:t>
            </w:r>
          </w:p>
          <w:p>
            <w:pPr>
              <w:pStyle w:val="skn-mlz2ullinth-last-child1"/>
              <w:numPr>
                <w:ilvl w:val="0"/>
                <w:numId w:val="17"/>
              </w:numPr>
              <w:pBdr>
                <w:top w:val="none" w:sz="0" w:space="0" w:color="auto"/>
                <w:left w:val="none" w:sz="0" w:space="3"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Supported successful audit closures during peak audit season without delays.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080D81E3-C374-49BE-90AC-328CB7487DBF}"/>
    <w:embedBold r:id="rId2" w:fontKey="{4BCF12B9-E77B-4130-9FDD-CF38D27E8F05}"/>
  </w:font>
  <w:font w:name="Open Sans SemiBold">
    <w:charset w:val="00"/>
    <w:family w:val="auto"/>
    <w:pitch w:val="default"/>
    <w:embedRegular r:id="rId3" w:fontKey="{030A1ECA-7EEF-4072-975B-C90D881D9A9F}"/>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E0A83A"/>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ulli">
    <w:name w:val="skn-mlz2_ul_li"/>
    <w:basedOn w:val="Normal"/>
    <w:pPr>
      <w:pBdr>
        <w:left w:val="none" w:sz="0" w:space="3" w:color="auto"/>
        <w:bottom w:val="none" w:sz="0" w:space="4" w:color="auto"/>
      </w:pBdr>
    </w:p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