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217C7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Rohan</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Mehta</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Senior Financial Auditor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rohan.mehta@example.com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Kolkata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West</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Bengal</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700091</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18</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August</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1991</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7ab0b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Strategic Senior Financial Auditor with extensive experience in statutory and internal audits, risk assessment, and financial reporting. Proven ability to lead audit teams, enhance internal controls, and ensure compliance with regulatory standards. Eager to leverage expertise to drive excellence and integrity in financial operations at a forward-thinking organization.</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Senior Financial Auditor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KPMG India</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Apr 2021</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Kolkata</w:t>
            </w:r>
            <w:r>
              <w:rPr>
                <w:rStyle w:val="skn-mly8expr-secfirst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Led statutory and internal audits for large corporate clients, ensuring compliance with Indian auditing and accounting standards.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Reviewed complex financial statements and disclosures, identifying high-risk areas and ensuring accurate financial reporting.</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Supervised audit teams, allocated tasks, and monitored progress to ensure timely and quality audit completion.</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Evaluated internal control frameworks and recommended control improvements to reduce financial and operational risks.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directly with senior client stakeholders to discuss audit observations and resolve critical audit issues.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and reviewed detailed audit working papers and final audit reports for management and regulatory review.</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Ensured adherence to firm audit methodologies and supported internal quality and peer review processes.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Audit Assistant Manager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EY India</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2017</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Mar 2021</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Bengaluru</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multiple audit engagements simultaneously, including planning, execution, review, and finalization of audits.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risk assessments and materiality calculations to define audit scope and prioritize audit focus areas.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Reviewed accounting treatments and compliance with Companies Act and applicable financial reporting standards.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Guided audit team members on audit procedures, documentation standards, and issue resolution techniques.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Discussed audit findings with client finance teams and supported management in addressing control gaps.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Ensured audit documentation completeness and compliance with internal quality control requirements.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partners during audit closure meetings and final audit opinion discussions.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Audit Associate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BDO India</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Jun 2014</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2017</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Mumbai</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3"/>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Executed audit procedures for statutory and internal audits across manufacturing and service sector clients.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Verified books of accounts, vouchers, and reconciliations to ensure accuracy and compliance with policies.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Performed analytical reviews to identify unusual trends, errors, and potential risk areas.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Documented audit observations and supported seniors in preparing audit reports and working papers.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Reviewed compliance with statutory requirements including taxation and corporate regulations.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client teams to collect audit evidence and resolve audit queries efficiently.</w:t>
      </w:r>
    </w:p>
    <w:p>
      <w:pPr>
        <w:pStyle w:val="skn-mly8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audit seniors during finalization and gained exposure to audit methodologies and best practices.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St. Xavier's High School</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2007</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St. Xavier's Higher Secondary School</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2009</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Bachelor of Commerce (B.Com)</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Accounting and Finance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University of Calcutta</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Apr 2012</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7ab0b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Statutory Audit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Internal Audit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Audit Planning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Risk Assessment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Internal Controls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Financial Reporting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Compliance Review</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Team Leadership</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Audit Documentation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Regulatory Standards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firstparagraph"/>
                <w:rFonts w:ascii="Open Sans" w:eastAsia="Open Sans" w:hAnsi="Open Sans" w:cs="Open Sans"/>
                <w:b w:val="0"/>
                <w:bCs w:val="0"/>
                <w:color w:val="181818"/>
                <w:sz w:val="20"/>
                <w:szCs w:val="20"/>
              </w:rPr>
            </w:pPr>
            <w:r>
              <w:rPr>
                <w:rStyle w:val="skn-mly8similar-secfirstparagraph"/>
                <w:rFonts w:ascii="Open Sans" w:eastAsia="Open Sans" w:hAnsi="Open Sans" w:cs="Open Sans"/>
                <w:b w:val="0"/>
                <w:bCs w:val="0"/>
                <w:color w:val="181818"/>
                <w:sz w:val="20"/>
                <w:szCs w:val="20"/>
              </w:rPr>
              <w:t>ICAI Certificate Course on Forensic Accounting and Fraud Detection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
                <w:rFonts w:ascii="Open Sans" w:eastAsia="Open Sans" w:hAnsi="Open Sans" w:cs="Open Sans"/>
                <w:b w:val="0"/>
                <w:bCs w:val="0"/>
                <w:color w:val="181818"/>
                <w:sz w:val="20"/>
                <w:szCs w:val="20"/>
              </w:rPr>
            </w:pPr>
            <w:r>
              <w:rPr>
                <w:rStyle w:val="skn-mly8similar-secparagraph"/>
                <w:rFonts w:ascii="Open Sans" w:eastAsia="Open Sans" w:hAnsi="Open Sans" w:cs="Open Sans"/>
                <w:b w:val="0"/>
                <w:bCs w:val="0"/>
                <w:color w:val="181818"/>
                <w:sz w:val="20"/>
                <w:szCs w:val="20"/>
              </w:rPr>
              <w:t>ICAI Certificate Course on GST Audit</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160" w:type="dxa"/>
              <w:left w:w="0" w:type="dxa"/>
              <w:bottom w:w="0" w:type="dxa"/>
              <w:right w:w="0" w:type="dxa"/>
            </w:tcMar>
            <w:vAlign w:val="top"/>
            <w:hideMark/>
          </w:tcPr>
          <w:p>
            <w:pPr>
              <w:pStyle w:val="skn-mly8anyParagraph"/>
              <w:numPr>
                <w:ilvl w:val="0"/>
                <w:numId w:val="16"/>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CA Final – ICAI</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160" w:type="dxa"/>
              <w:left w:w="0" w:type="dxa"/>
              <w:bottom w:w="0" w:type="dxa"/>
              <w:right w:w="0" w:type="dxa"/>
            </w:tcMar>
            <w:vAlign w:val="top"/>
            <w:hideMark/>
          </w:tcPr>
          <w:p/>
        </w:tc>
        <w:tc>
          <w:tcPr>
            <w:tcW w:w="5566" w:type="dxa"/>
            <w:noWrap w:val="0"/>
            <w:tcMar>
              <w:top w:w="160" w:type="dxa"/>
              <w:left w:w="0" w:type="dxa"/>
              <w:bottom w:w="0" w:type="dxa"/>
              <w:right w:w="0" w:type="dxa"/>
            </w:tcMar>
            <w:vAlign w:val="top"/>
            <w:hideMark/>
          </w:tcPr>
          <w:p>
            <w:pPr>
              <w:pStyle w:val="skn-mly8anyParagraph"/>
              <w:numPr>
                <w:ilvl w:val="0"/>
                <w:numId w:val="17"/>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DISA (Diploma in Information Systems Audit) – ICAI</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Enterprise Risk Assessment Project: Led risk assessment and control evaluation for a listed manufacturing company during statutory audit. Internal Audit Framework Review: Reviewed and strengthened internal audit processes for a mid-sized service organization.</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7ab0b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8"/>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Led successful statutory audit completion for key clients at KPMG India with zero regulatory observations.</w:t>
      </w:r>
    </w:p>
    <w:p>
      <w:pPr>
        <w:pStyle w:val="skn-mly8ulli"/>
        <w:numPr>
          <w:ilvl w:val="0"/>
          <w:numId w:val="18"/>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at EY India for improving audit quality scores during internal quality reviews.</w:t>
      </w:r>
    </w:p>
    <w:p>
      <w:pPr>
        <w:pStyle w:val="skn-mly8ullinth-last-child1"/>
        <w:numPr>
          <w:ilvl w:val="0"/>
          <w:numId w:val="18"/>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Contributed to multiple on-time audit closures at BDO India during peak audit seasons.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EFBD24BC-D0D3-4E3D-8EC5-FBFE3502317E}"/>
  </w:font>
  <w:font w:name="Open Sans">
    <w:charset w:val="00"/>
    <w:family w:val="auto"/>
    <w:pitch w:val="default"/>
    <w:sig w:usb0="00000000" w:usb1="00000000" w:usb2="00000000" w:usb3="00000000" w:csb0="00000001" w:csb1="00000000"/>
    <w:embedRegular r:id="rId2" w:fontKey="{F3CECD0C-3E33-4DF1-830D-1A9FFB81FCEB}"/>
    <w:embedBold r:id="rId3" w:fontKey="{D893DEDC-F5DC-4306-A521-D9970815EF6E}"/>
  </w:font>
  <w:font w:name="Open Sans Medium">
    <w:charset w:val="00"/>
    <w:family w:val="auto"/>
    <w:pitch w:val="default"/>
    <w:embedRegular r:id="rId4" w:fontKey="{76E4EB00-AEDE-45A1-9DA1-C18DC6D9412B}"/>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217C7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217C7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217C7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firstparagraph">
    <w:name w:val="skn-mly8_similar-sec_firstparagraph"/>
    <w:basedOn w:val="DefaultParagraphFont"/>
  </w:style>
  <w:style w:type="character" w:customStyle="1" w:styleId="skn-mly8similar-secparagraph">
    <w:name w:val="skn-mly8_similar-sec_paragraph"/>
    <w:basedOn w:val="DefaultParagraphFont"/>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