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6FAFC"/>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6FAFC"/>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Ankit</w:t>
                  </w:r>
                  <w:r>
                    <w:rPr>
                      <w:rStyle w:val="skn-mlz1sectionnth-last-child1"/>
                      <w:b/>
                      <w:bCs/>
                      <w:caps/>
                    </w:rPr>
                    <w:t xml:space="preserve"> </w:t>
                  </w:r>
                  <w:r>
                    <w:rPr>
                      <w:rStyle w:val="skn-mlz1any"/>
                      <w:b/>
                      <w:bCs/>
                      <w:caps/>
                    </w:rPr>
                    <w:t>Sharma</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469FBE"/>
                      <w:sz w:val="28"/>
                      <w:szCs w:val="28"/>
                    </w:rPr>
                  </w:pPr>
                  <w:r>
                    <w:rPr>
                      <w:rStyle w:val="skn-mlz1any"/>
                      <w:rFonts w:ascii="Open Sans" w:eastAsia="Open Sans" w:hAnsi="Open Sans" w:cs="Open Sans"/>
                      <w:b/>
                      <w:bCs/>
                      <w:color w:val="469FBE"/>
                      <w:sz w:val="28"/>
                      <w:szCs w:val="28"/>
                    </w:rPr>
                    <w:t>Senior Financial Analyst</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6FAFC"/>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ankit.sharma@example.com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Pune</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411045</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12 September 1989</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6FAFC"/>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6FA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469FBE"/>
                      <w:spacing w:val="13"/>
                    </w:rPr>
                  </w:pPr>
                  <w:r>
                    <w:rPr>
                      <w:rStyle w:val="parent-containerleft-boxsectiontitle"/>
                      <w:rFonts w:ascii="Playfair Display" w:eastAsia="Playfair Display" w:hAnsi="Playfair Display" w:cs="Playfair Display"/>
                      <w:b/>
                      <w:bCs/>
                      <w:caps/>
                      <w:color w:val="469FBE"/>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pTo support business leadership through accurate financial analysis, forecasting, and reporting that enables informed strategic and operational decisions./ppSenior Financial Analyst with 8 years of experience in corporate finance, budgeting, forecasting, and performance analysis. Strong background in financial modeling, variance analysis, and management reporting. Experienced in partnering with business teams to support cost control, profitability improvement, and investment decisions. Proven ability to handle complex datasets, tight timelines, and senior stakeholder expectations with accuracy and clarity./p</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6FA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469FBE"/>
                      <w:spacing w:val="13"/>
                    </w:rPr>
                  </w:pPr>
                  <w:r>
                    <w:rPr>
                      <w:rStyle w:val="parent-containerleft-boxsectiontitle"/>
                      <w:rFonts w:ascii="Playfair Display" w:eastAsia="Playfair Display" w:hAnsi="Playfair Display" w:cs="Playfair Display"/>
                      <w:b/>
                      <w:bCs/>
                      <w:caps/>
                      <w:color w:val="469FBE"/>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1E7EF"/>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Apex Solutions Pvt. Ltd.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Pune</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Apr 2021</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Present</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469FBE"/>
                      <w:sz w:val="22"/>
                      <w:szCs w:val="22"/>
                    </w:rPr>
                  </w:pPr>
                  <w:r>
                    <w:rPr>
                      <w:rStyle w:val="skn-mlz1exed-secsinglecolumnexedsectableright-content"/>
                      <w:rFonts w:ascii="Open Sans" w:eastAsia="Open Sans" w:hAnsi="Open Sans" w:cs="Open Sans"/>
                      <w:b/>
                      <w:bCs/>
                    </w:rPr>
                    <w:t>Senior Financial Analyst</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Prepared monthly financial reports and dashboards to support senior management decision-making processes.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Led annual budgeting and quarterly forecasting cycles in coordination with department heads.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Analyzed revenue, cost, and margin variances to identify performance gaps and improvement opportunities.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Developed financial models for new projects, pricing decisions, and capital expenditure proposals.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Partnered with business leaders to evaluate financial impact of operational and strategic initiatives.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Reviewed financial controls and supported internal audits with accurate data and explanations.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Mentored junior analysts on reporting standards, data accuracy, and analytical best practices.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1E7EF"/>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BrightCore Technologies Ltd.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Bengaluru</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Jul 2016</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Mar 2021</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469FBE"/>
                      <w:sz w:val="22"/>
                      <w:szCs w:val="22"/>
                    </w:rPr>
                  </w:pPr>
                  <w:r>
                    <w:rPr>
                      <w:rStyle w:val="skn-mlz1exed-secparagraphnth-last-child1right-content"/>
                      <w:rFonts w:ascii="Open Sans" w:eastAsia="Open Sans" w:hAnsi="Open Sans" w:cs="Open Sans"/>
                      <w:b/>
                      <w:bCs/>
                    </w:rPr>
                    <w:t>Financial Analyst</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Supported monthly close activities by preparing journal entries, accruals, and reconciliation schedules.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Performed detailed expense analysis and monitored departmental budgets against actual spending.</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Created management reports highlighting key financial trends, risks, and business insights.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in preparing long-term financial forecasts and scenario-based planning models.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Collaborated with cross-functional teams to collect inputs for budgeting and planning cycles.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Maintained financial databases and improved reporting accuracy through structured validation checks.</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Supported senior analysts in preparing board-level presentations and financial review materials.</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6FA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469FBE"/>
                      <w:spacing w:val="13"/>
                    </w:rPr>
                  </w:pPr>
                  <w:r>
                    <w:rPr>
                      <w:rStyle w:val="parent-containerleft-boxsectiontitle"/>
                      <w:rFonts w:ascii="Playfair Display" w:eastAsia="Playfair Display" w:hAnsi="Playfair Display" w:cs="Playfair Display"/>
                      <w:b/>
                      <w:bCs/>
                      <w:caps/>
                      <w:color w:val="469FBE"/>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1E7EF"/>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Loyola College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Tamil Nadu</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Apr 2010</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469FBE"/>
                            <w:sz w:val="22"/>
                            <w:szCs w:val="22"/>
                          </w:rPr>
                          <w:t>Bachelor of Commerce (B.Com)</w:t>
                        </w:r>
                        <w:r>
                          <w:rPr>
                            <w:rStyle w:val="skn-mlz1sectioneducationdegre-group"/>
                            <w:rFonts w:ascii="Open Sans" w:eastAsia="Open Sans" w:hAnsi="Open Sans" w:cs="Open Sans"/>
                            <w:b/>
                            <w:bCs/>
                            <w:color w:val="469FBE"/>
                            <w:sz w:val="22"/>
                            <w:szCs w:val="22"/>
                          </w:rPr>
                          <w:t xml:space="preserve"> </w:t>
                        </w:r>
                        <w:r>
                          <w:rPr>
                            <w:rStyle w:val="skn-mlz1any"/>
                            <w:rFonts w:ascii="Open Sans" w:eastAsia="Open Sans" w:hAnsi="Open Sans" w:cs="Open Sans"/>
                            <w:b/>
                            <w:bCs/>
                            <w:color w:val="469FBE"/>
                            <w:sz w:val="22"/>
                            <w:szCs w:val="22"/>
                          </w:rPr>
                          <w:t>in</w:t>
                        </w:r>
                        <w:r>
                          <w:rPr>
                            <w:rStyle w:val="skn-mlz1sectioneducationdegre-group"/>
                            <w:rFonts w:ascii="Open Sans" w:eastAsia="Open Sans" w:hAnsi="Open Sans" w:cs="Open Sans"/>
                            <w:b/>
                            <w:bCs/>
                            <w:color w:val="469FBE"/>
                            <w:sz w:val="22"/>
                            <w:szCs w:val="22"/>
                          </w:rPr>
                          <w:t xml:space="preserve"> </w:t>
                        </w:r>
                        <w:r>
                          <w:rPr>
                            <w:rStyle w:val="skn-mlz1any"/>
                            <w:rFonts w:ascii="Open Sans" w:eastAsia="Open Sans" w:hAnsi="Open Sans" w:cs="Open Sans"/>
                            <w:b/>
                            <w:bCs/>
                            <w:color w:val="469FBE"/>
                            <w:sz w:val="22"/>
                            <w:szCs w:val="22"/>
                          </w:rPr>
                          <w:t>Accounting and Finance</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469FBE"/>
                            <w:sz w:val="22"/>
                            <w:szCs w:val="22"/>
                          </w:rPr>
                        </w:pPr>
                        <w:r>
                          <w:rPr>
                            <w:rStyle w:val="skn-mlz1sectioneducationeduc-gap-cell"/>
                            <w:rFonts w:ascii="Open Sans" w:eastAsia="Open Sans" w:hAnsi="Open Sans" w:cs="Open Sans"/>
                            <w:b/>
                            <w:bCs/>
                            <w:color w:val="469FBE"/>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1E7EF"/>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DAV Senior Secondary School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Tamil Nadu</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2007</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469FBE"/>
                            <w:sz w:val="22"/>
                            <w:szCs w:val="22"/>
                          </w:rPr>
                          <w:t>Higher Secondary</w:t>
                        </w:r>
                        <w:r>
                          <w:rPr>
                            <w:rStyle w:val="skn-mlz1sectioneducationdegre-group"/>
                            <w:rFonts w:ascii="Open Sans" w:eastAsia="Open Sans" w:hAnsi="Open Sans" w:cs="Open Sans"/>
                            <w:b/>
                            <w:bCs/>
                            <w:color w:val="469FBE"/>
                            <w:sz w:val="22"/>
                            <w:szCs w:val="22"/>
                          </w:rPr>
                          <w:t xml:space="preserve"> </w:t>
                        </w:r>
                        <w:r>
                          <w:rPr>
                            <w:rStyle w:val="skn-mlz1any"/>
                            <w:rFonts w:ascii="Open Sans" w:eastAsia="Open Sans" w:hAnsi="Open Sans" w:cs="Open Sans"/>
                            <w:b/>
                            <w:bCs/>
                            <w:color w:val="469FBE"/>
                            <w:sz w:val="22"/>
                            <w:szCs w:val="22"/>
                          </w:rPr>
                          <w:t>in</w:t>
                        </w:r>
                        <w:r>
                          <w:rPr>
                            <w:rStyle w:val="skn-mlz1sectioneducationdegre-group"/>
                            <w:rFonts w:ascii="Open Sans" w:eastAsia="Open Sans" w:hAnsi="Open Sans" w:cs="Open Sans"/>
                            <w:b/>
                            <w:bCs/>
                            <w:color w:val="469FBE"/>
                            <w:sz w:val="22"/>
                            <w:szCs w:val="22"/>
                          </w:rPr>
                          <w:t xml:space="preserve"> </w:t>
                        </w:r>
                        <w:r>
                          <w:rPr>
                            <w:rStyle w:val="skn-mlz1any"/>
                            <w:rFonts w:ascii="Open Sans" w:eastAsia="Open Sans" w:hAnsi="Open Sans" w:cs="Open Sans"/>
                            <w:b/>
                            <w:bCs/>
                            <w:color w:val="469FBE"/>
                            <w:sz w:val="22"/>
                            <w:szCs w:val="22"/>
                          </w:rPr>
                          <w:t>12th Standard</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469FBE"/>
                            <w:sz w:val="22"/>
                            <w:szCs w:val="22"/>
                          </w:rPr>
                        </w:pPr>
                        <w:r>
                          <w:rPr>
                            <w:rStyle w:val="skn-mlz1sectioneducationeduc-gap-cell"/>
                            <w:rFonts w:ascii="Open Sans" w:eastAsia="Open Sans" w:hAnsi="Open Sans" w:cs="Open Sans"/>
                            <w:b/>
                            <w:bCs/>
                            <w:color w:val="469FBE"/>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1E7EF"/>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DAV Senior Secondary School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Tamil Nadu</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2005</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469FBE"/>
                            <w:sz w:val="22"/>
                            <w:szCs w:val="22"/>
                          </w:rPr>
                          <w:t>Secondary</w:t>
                        </w:r>
                        <w:r>
                          <w:rPr>
                            <w:rStyle w:val="skn-mlz1sectioneducationdegre-group"/>
                            <w:rFonts w:ascii="Open Sans" w:eastAsia="Open Sans" w:hAnsi="Open Sans" w:cs="Open Sans"/>
                            <w:b/>
                            <w:bCs/>
                            <w:color w:val="469FBE"/>
                            <w:sz w:val="22"/>
                            <w:szCs w:val="22"/>
                          </w:rPr>
                          <w:t xml:space="preserve"> </w:t>
                        </w:r>
                        <w:r>
                          <w:rPr>
                            <w:rStyle w:val="skn-mlz1any"/>
                            <w:rFonts w:ascii="Open Sans" w:eastAsia="Open Sans" w:hAnsi="Open Sans" w:cs="Open Sans"/>
                            <w:b/>
                            <w:bCs/>
                            <w:color w:val="469FBE"/>
                            <w:sz w:val="22"/>
                            <w:szCs w:val="22"/>
                          </w:rPr>
                          <w:t>in</w:t>
                        </w:r>
                        <w:r>
                          <w:rPr>
                            <w:rStyle w:val="skn-mlz1sectioneducationdegre-group"/>
                            <w:rFonts w:ascii="Open Sans" w:eastAsia="Open Sans" w:hAnsi="Open Sans" w:cs="Open Sans"/>
                            <w:b/>
                            <w:bCs/>
                            <w:color w:val="469FBE"/>
                            <w:sz w:val="22"/>
                            <w:szCs w:val="22"/>
                          </w:rPr>
                          <w:t xml:space="preserve"> </w:t>
                        </w:r>
                        <w:r>
                          <w:rPr>
                            <w:rStyle w:val="skn-mlz1any"/>
                            <w:rFonts w:ascii="Open Sans" w:eastAsia="Open Sans" w:hAnsi="Open Sans" w:cs="Open Sans"/>
                            <w:b/>
                            <w:bCs/>
                            <w:color w:val="469FBE"/>
                            <w:sz w:val="22"/>
                            <w:szCs w:val="22"/>
                          </w:rPr>
                          <w:t>10th Standard</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469FBE"/>
                            <w:sz w:val="22"/>
                            <w:szCs w:val="22"/>
                          </w:rPr>
                        </w:pPr>
                        <w:r>
                          <w:rPr>
                            <w:rStyle w:val="skn-mlz1sectioneducationeduc-gap-cell"/>
                            <w:rFonts w:ascii="Open Sans" w:eastAsia="Open Sans" w:hAnsi="Open Sans" w:cs="Open Sans"/>
                            <w:b/>
                            <w:bCs/>
                            <w:color w:val="469FBE"/>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6FA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469FBE"/>
                      <w:spacing w:val="13"/>
                    </w:rPr>
                  </w:pPr>
                  <w:r>
                    <w:rPr>
                      <w:rStyle w:val="parent-containerleft-boxsectiontitle"/>
                      <w:rFonts w:ascii="Playfair Display" w:eastAsia="Playfair Display" w:hAnsi="Playfair Display" w:cs="Playfair Display"/>
                      <w:b/>
                      <w:bCs/>
                      <w:caps/>
                      <w:color w:val="469FBE"/>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Financial Modeling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Budgeting and Forecasting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Variance Analysis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Management Reporting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Business Partnering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Cost Analysis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Financial Planning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0"/>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Excel and Financial Tools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1"/>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Data Interpretation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12"/>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Risk Assessment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6FA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469FBE"/>
                      <w:spacing w:val="13"/>
                    </w:rPr>
                  </w:pPr>
                  <w:r>
                    <w:rPr>
                      <w:rStyle w:val="parent-containerleft-boxsectiontitle"/>
                      <w:rFonts w:ascii="Playfair Display" w:eastAsia="Playfair Display" w:hAnsi="Playfair Display" w:cs="Playfair Display"/>
                      <w:b/>
                      <w:bCs/>
                      <w:caps/>
                      <w:color w:val="469FBE"/>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3"/>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Chartered Financial Analyst (CFA) Level I</w:t>
            </w:r>
          </w:p>
          <w:p>
            <w:pPr>
              <w:pStyle w:val="skn-mlz1anyParagraph"/>
              <w:numPr>
                <w:ilvl w:val="0"/>
                <w:numId w:val="14"/>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Certified Management Accountant (CMA) – Intermediate</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6FA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469FBE"/>
                      <w:spacing w:val="13"/>
                    </w:rPr>
                  </w:pPr>
                  <w:r>
                    <w:rPr>
                      <w:rStyle w:val="parent-containerleft-boxsectiontitle"/>
                      <w:rFonts w:ascii="Playfair Display" w:eastAsia="Playfair Display" w:hAnsi="Playfair Display" w:cs="Playfair Display"/>
                      <w:b/>
                      <w:bCs/>
                      <w:caps/>
                      <w:color w:val="469FBE"/>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Developed a rolling forecast model to improve cash flow visibility across multiple business units. Led cost optimization analysis project resulting in revised budgeting controls for operational teams.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6FA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469FBE"/>
                      <w:spacing w:val="13"/>
                    </w:rPr>
                  </w:pPr>
                  <w:r>
                    <w:rPr>
                      <w:rStyle w:val="parent-containerleft-boxsectiontitle"/>
                      <w:rFonts w:ascii="Playfair Display" w:eastAsia="Playfair Display" w:hAnsi="Playfair Display" w:cs="Playfair Display"/>
                      <w:b/>
                      <w:bCs/>
                      <w:caps/>
                      <w:color w:val="469FBE"/>
                      <w:spacing w:val="13"/>
                    </w:rPr>
                    <w:t>Industry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Corporate Finance and Financial Services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6FA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469FBE"/>
                      <w:spacing w:val="13"/>
                    </w:rPr>
                  </w:pPr>
                  <w:r>
                    <w:rPr>
                      <w:rStyle w:val="parent-containerleft-boxsectiontitle"/>
                      <w:rFonts w:ascii="Playfair Display" w:eastAsia="Playfair Display" w:hAnsi="Playfair Display" w:cs="Playfair Display"/>
                      <w:b/>
                      <w:bCs/>
                      <w:caps/>
                      <w:color w:val="469FBE"/>
                      <w:spacing w:val="13"/>
                    </w:rPr>
                    <w:t>Accomplishments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5"/>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Recognized for improving forecast accuracy by over 15 percent at Apex Solutions Pvt. Ltd.</w:t>
            </w:r>
          </w:p>
          <w:p>
            <w:pPr>
              <w:pStyle w:val="skn-mlz1ulli"/>
              <w:numPr>
                <w:ilvl w:val="0"/>
                <w:numId w:val="15"/>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Awarded best financial reporting contributor at BrightCore Technologies Ltd.</w:t>
            </w:r>
          </w:p>
          <w:p>
            <w:pPr>
              <w:pStyle w:val="skn-mlz1ullinth-last-child1"/>
              <w:numPr>
                <w:ilvl w:val="0"/>
                <w:numId w:val="15"/>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Delivered timely financial insights supporting major pricing and investment decisions.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6FA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469FBE"/>
                      <w:spacing w:val="13"/>
                    </w:rPr>
                  </w:pPr>
                  <w:r>
                    <w:rPr>
                      <w:rStyle w:val="parent-containerleft-boxsectiontitle"/>
                      <w:rFonts w:ascii="Playfair Display" w:eastAsia="Playfair Display" w:hAnsi="Playfair Display" w:cs="Playfair Display"/>
                      <w:b/>
                      <w:bCs/>
                      <w:caps/>
                      <w:color w:val="469FBE"/>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CAD7CE8A-025D-49A7-8F28-49B5FBD8DE38}"/>
    <w:embedBold r:id="rId2" w:fontKey="{C245D573-1809-4D51-8326-070C97A485A6}"/>
  </w:font>
  <w:font w:name="Open Sans">
    <w:charset w:val="00"/>
    <w:family w:val="auto"/>
    <w:pitch w:val="default"/>
    <w:sig w:usb0="00000000" w:usb1="00000000" w:usb2="00000000" w:usb3="00000000" w:csb0="00000001" w:csb1="00000000"/>
    <w:embedRegular r:id="rId3" w:fontKey="{770653DB-5454-44DF-87C1-FD75F92EC3D8}"/>
    <w:embedBold r:id="rId4" w:fontKey="{F9F8DA6C-E9EF-48AD-98C2-72D23E73CC5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469FBE"/>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paragraph" w:customStyle="1" w:styleId="skn-mlz1educationdivparagraph">
    <w:name w:val="skn-mlz1_education_div_paragraph"/>
    <w:basedOn w:val="Normal"/>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Sharma</dc:title>
  <cp:revision>0</cp:revision>
</cp:coreProperties>
</file>