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469FBE"/>
                <w:sz w:val="48"/>
                <w:szCs w:val="48"/>
                <w:bdr w:val="none" w:sz="0" w:space="0" w:color="auto"/>
                <w:vertAlign w:val="baseline"/>
              </w:rPr>
            </w:pPr>
            <w:r>
              <w:rPr>
                <w:rStyle w:val="span"/>
                <w:rFonts w:ascii="Open Sans" w:eastAsia="Open Sans" w:hAnsi="Open Sans" w:cs="Open Sans"/>
                <w:b/>
                <w:bCs/>
                <w:caps/>
                <w:color w:val="469FBE"/>
                <w:sz w:val="48"/>
                <w:szCs w:val="48"/>
              </w:rPr>
              <w:t>Rohan</w:t>
            </w:r>
            <w:r>
              <w:rPr>
                <w:rStyle w:val="skn-slo3top-sectionright-box"/>
                <w:rFonts w:ascii="Open Sans" w:eastAsia="Open Sans" w:hAnsi="Open Sans" w:cs="Open Sans"/>
                <w:b/>
                <w:bCs/>
                <w:caps/>
                <w:color w:val="469FBE"/>
                <w:sz w:val="48"/>
                <w:szCs w:val="48"/>
                <w:bdr w:val="none" w:sz="0" w:space="0" w:color="auto"/>
                <w:vertAlign w:val="baseline"/>
              </w:rPr>
              <w:t xml:space="preserve"> </w:t>
            </w:r>
            <w:r>
              <w:rPr>
                <w:rStyle w:val="span"/>
                <w:rFonts w:ascii="Open Sans" w:eastAsia="Open Sans" w:hAnsi="Open Sans" w:cs="Open Sans"/>
                <w:b/>
                <w:bCs/>
                <w:caps/>
                <w:color w:val="469FBE"/>
                <w:sz w:val="48"/>
                <w:szCs w:val="48"/>
              </w:rPr>
              <w:t>Kulkarni</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Senior Finance Executive</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rohan.kulkarni@example.com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411045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February</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1989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in financial reporting, budgeting, and cost analysis with expertise in month-end closing, GST compliance, and statutory audit support. Skilled in creating MIS reports and conducting variance analysis to support strategic decisions. Brings strong knowledge of ERP accounting systems and financial controls to drive operational efficiency.</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40"/>
        <w:gridCol w:w="781"/>
        <w:gridCol w:w="5038"/>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Financial Reporting</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Budgeting and Forecasting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MIS Preparation</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Month End Closing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GST Compliance</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Statutory Audit Support</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Cost Analysis</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Accounts Finalization</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Variance Analysis</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ERP Accounting Systems</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Senior Finance Executive</w:t>
            </w:r>
            <w:r>
              <w:rPr>
                <w:rStyle w:val="spacebeforecomp"/>
                <w:color w:val="050505"/>
              </w:rPr>
              <w:t>  </w:t>
            </w:r>
            <w:r>
              <w:rPr>
                <w:rStyle w:val="skn-slo3color-support"/>
                <w:rFonts w:ascii="Open Sans" w:eastAsia="Open Sans" w:hAnsi="Open Sans" w:cs="Open Sans"/>
                <w:sz w:val="20"/>
                <w:szCs w:val="20"/>
              </w:rPr>
              <w:t>Tata Consultancy Services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monthly financial statements ensuring accuracy and compliance with internal accounting standards.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month-end closing activities and resolved accounting discrepancies within defined timelines.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Managed budgeting and forecasting processes with periodic variance analysis reporting.</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statutory and internal audits through timely submission of schedules and explanations.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Monitored GST filings, reconciliations, and ensured compliance with changing tax regulations.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Generated MIS reports for management review and strategic decision support.</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Worked closely with operations teams to track costs and improve financial controls.</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Finance Executive</w:t>
            </w:r>
            <w:r>
              <w:rPr>
                <w:rStyle w:val="spacebeforecomp"/>
                <w:color w:val="050505"/>
              </w:rPr>
              <w:t>  </w:t>
            </w:r>
            <w:r>
              <w:rPr>
                <w:rStyle w:val="skn-slo3color-support"/>
                <w:rFonts w:ascii="Open Sans" w:eastAsia="Open Sans" w:hAnsi="Open Sans" w:cs="Open Sans"/>
                <w:sz w:val="20"/>
                <w:szCs w:val="20"/>
              </w:rPr>
              <w:t>Larsen &amp; Toubro Infotech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2016</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March 2020</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general ledger accounts and ensured accurate posting of daily financial transactions.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in preparation of quarterly and annual financial statements.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budgeting exercises and tracked departmental expenses against approved budgets.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Handled vendor reconciliations and resolved outstanding balance discrepancies.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in GST implementation, returns filing, and input credit reconciliation.</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audit schedules and coordinated with external auditors during audits.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Ensured timely closure of books during month-end and year-end processes.</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Accounts Executive</w:t>
            </w:r>
            <w:r>
              <w:rPr>
                <w:rStyle w:val="spacebeforecomp"/>
                <w:color w:val="050505"/>
              </w:rPr>
              <w:t>  </w:t>
            </w:r>
            <w:r>
              <w:rPr>
                <w:rStyle w:val="skn-slo3color-support"/>
                <w:rFonts w:ascii="Open Sans" w:eastAsia="Open Sans" w:hAnsi="Open Sans" w:cs="Open Sans"/>
                <w:sz w:val="20"/>
                <w:szCs w:val="20"/>
              </w:rPr>
              <w:t>KPMG India</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2014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2015</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senior auditors in reviewing client financial records and supporting audit procedures.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Prepared working papers and basic financial analysis reports for audit engagements.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Verified accounting entries for compliance with accounting standards and company policies.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reconciliation of balance sheet accounts during audit assignments.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Coordinated with client finance teams to collect required audit documentation.</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Documented audit observations and assisted in report preparation.</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Gained exposure to corporate accounting practices across multiple industries.</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9099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New English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2004</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Fergusson Junior College</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2006</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6432" behindDoc="0" locked="0" layoutInCell="1" allowOverlap="1">
                  <wp:simplePos x="0" y="0"/>
                  <wp:positionH relativeFrom="column">
                    <wp:posOffset>-50800</wp:posOffset>
                  </wp:positionH>
                  <wp:positionV relativeFrom="paragraph">
                    <wp:posOffset>25400</wp:posOffset>
                  </wp:positionV>
                  <wp:extent cx="89410" cy="12754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Commerce (B.Com)</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Accounting and Finance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Savitribai Phule Pune University</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2009</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34"/>
        <w:gridCol w:w="782"/>
        <w:gridCol w:w="5044"/>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ICAI Certificate Course on GST</w:t>
            </w:r>
          </w:p>
        </w:tc>
        <w:tc>
          <w:tcPr>
            <w:tcW w:w="600" w:type="dxa"/>
            <w:tcMar>
              <w:bottom w:w="0" w:type="dxa"/>
            </w:tcMar>
          </w:tcPr>
          <w:p/>
        </w:tc>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NSE Academy Certification in Financial Accounting</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GST Compliance Optimization Project, Supported reconciliation and timely filing of GST returns across multiple states. Budget Control Improvement Project, Assisted in improving expense tracking and variance reporting processes.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Personal Information</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Industry</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Corporate Finance and Accounting</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6"/>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successful audit coordination at Tata Consultancy Services Ltd.</w:t>
      </w:r>
    </w:p>
    <w:p>
      <w:pPr>
        <w:pStyle w:val="skn-slo3ulliParagraph"/>
        <w:numPr>
          <w:ilvl w:val="0"/>
          <w:numId w:val="16"/>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for GST compliance accuracy at Larsen &amp; Toubro Infotech Ltd.</w:t>
      </w:r>
    </w:p>
    <w:p>
      <w:pPr>
        <w:pStyle w:val="skn-slo3ullinth-last-child1Paragraph"/>
        <w:numPr>
          <w:ilvl w:val="0"/>
          <w:numId w:val="16"/>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Commended for audit support quality at KPMG India.</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9C2ABBF9-7A41-4447-ACAB-7151B09EC19D}"/>
    <w:embedBold r:id="rId2" w:fontKey="{BD4D96E7-2E79-4E33-B707-334E56E92AE3}"/>
    <w:embedItalic r:id="rId3" w:fontKey="{8E329473-A8E1-4628-B916-EE5054DF3B0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469FBE"/>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469FBE"/>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