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top-section"/>
        <w:tblW w:w="0" w:type="auto"/>
        <w:tblCellSpacing w:w="0" w:type="dxa"/>
        <w:tblLayout w:type="fixed"/>
        <w:tblCellMar>
          <w:top w:w="0" w:type="dxa"/>
          <w:left w:w="0" w:type="dxa"/>
          <w:bottom w:w="0" w:type="dxa"/>
          <w:right w:w="0" w:type="dxa"/>
        </w:tblCellMar>
        <w:tblLook w:val="05E0"/>
      </w:tblPr>
      <w:tblGrid>
        <w:gridCol w:w="5720"/>
        <w:gridCol w:w="5720"/>
      </w:tblGrid>
      <w:tr>
        <w:tblPrEx>
          <w:tblW w:w="0" w:type="auto"/>
          <w:tblCellSpacing w:w="0" w:type="dxa"/>
          <w:tblLayout w:type="fixed"/>
          <w:tblCellMar>
            <w:top w:w="0" w:type="dxa"/>
            <w:left w:w="0" w:type="dxa"/>
            <w:bottom w:w="0" w:type="dxa"/>
            <w:right w:w="0" w:type="dxa"/>
          </w:tblCellMar>
          <w:tblLook w:val="05E0"/>
        </w:tblPrEx>
        <w:trPr>
          <w:hidden/>
          <w:tblCellSpacing w:w="0" w:type="dxa"/>
        </w:trPr>
        <w:tc>
          <w:tcPr>
            <w:tcW w:w="5720" w:type="dxa"/>
            <w:tcBorders>
              <w:top w:val="single" w:sz="40" w:space="0" w:color="F3D0A8"/>
              <w:bottom w:val="single" w:sz="40" w:space="0" w:color="F3D0A8"/>
            </w:tcBorders>
            <w:shd w:val="clear" w:color="auto" w:fill="E18926"/>
            <w:noWrap w:val="0"/>
            <w:tcMar>
              <w:top w:w="460" w:type="dxa"/>
              <w:left w:w="0" w:type="dxa"/>
              <w:bottom w:w="440" w:type="dxa"/>
              <w:right w:w="0" w:type="dxa"/>
            </w:tcMar>
            <w:vAlign w:val="bottom"/>
            <w:hideMark/>
          </w:tcPr>
          <w:p>
            <w:pPr>
              <w:pStyle w:val="txt-bold"/>
              <w:pBdr>
                <w:top w:val="none" w:sz="0" w:space="0" w:color="auto"/>
                <w:left w:val="none" w:sz="0" w:space="19" w:color="auto"/>
                <w:bottom w:val="none" w:sz="0" w:space="0" w:color="auto"/>
                <w:right w:val="none" w:sz="0" w:space="0" w:color="auto"/>
              </w:pBdr>
              <w:spacing w:before="0" w:after="0" w:line="540" w:lineRule="atLeast"/>
              <w:ind w:left="380" w:right="0"/>
              <w:rPr>
                <w:rStyle w:val="top-sectionleft-box"/>
                <w:rFonts w:ascii="Open Sans" w:eastAsia="Open Sans" w:hAnsi="Open Sans" w:cs="Open Sans"/>
                <w:b/>
                <w:bCs/>
                <w:spacing w:val="26"/>
                <w:sz w:val="44"/>
                <w:szCs w:val="44"/>
                <w:bdr w:val="none" w:sz="0" w:space="0" w:color="auto"/>
                <w:shd w:val="clear" w:color="auto" w:fill="auto"/>
                <w:vertAlign w:val="baseline"/>
              </w:rPr>
            </w:pPr>
            <w:r>
              <w:rPr>
                <w:rStyle w:val="span"/>
                <w:rFonts w:ascii="Open Sans" w:eastAsia="Open Sans" w:hAnsi="Open Sans" w:cs="Open Sans"/>
                <w:b/>
                <w:bCs/>
                <w:color w:val="FFFFFF"/>
                <w:spacing w:val="26"/>
                <w:sz w:val="44"/>
                <w:szCs w:val="44"/>
              </w:rPr>
              <w:t>Ananya</w:t>
            </w:r>
            <w:r>
              <w:rPr>
                <w:rStyle w:val="top-sectionleft-box"/>
                <w:rFonts w:ascii="Open Sans" w:eastAsia="Open Sans" w:hAnsi="Open Sans" w:cs="Open Sans"/>
                <w:b/>
                <w:bCs/>
                <w:spacing w:val="26"/>
                <w:sz w:val="44"/>
                <w:szCs w:val="44"/>
                <w:bdr w:val="none" w:sz="0" w:space="0" w:color="auto"/>
                <w:shd w:val="clear" w:color="auto" w:fill="auto"/>
                <w:vertAlign w:val="baseline"/>
              </w:rPr>
              <w:t xml:space="preserve"> </w:t>
            </w:r>
            <w:r>
              <w:rPr>
                <w:rStyle w:val="span"/>
                <w:rFonts w:ascii="Open Sans" w:eastAsia="Open Sans" w:hAnsi="Open Sans" w:cs="Open Sans"/>
                <w:b/>
                <w:bCs/>
                <w:color w:val="FFFFFF"/>
                <w:spacing w:val="26"/>
                <w:sz w:val="44"/>
                <w:szCs w:val="44"/>
              </w:rPr>
              <w:t>Kulkarni</w:t>
            </w:r>
          </w:p>
          <w:p>
            <w:pPr>
              <w:pStyle w:val="txt-bold"/>
              <w:pBdr>
                <w:top w:val="none" w:sz="0" w:space="5" w:color="auto"/>
                <w:left w:val="none" w:sz="0" w:space="0" w:color="auto"/>
                <w:bottom w:val="none" w:sz="0" w:space="0" w:color="auto"/>
                <w:right w:val="none" w:sz="0" w:space="0" w:color="auto"/>
              </w:pBdr>
              <w:spacing w:before="0" w:after="0" w:line="280" w:lineRule="atLeast"/>
              <w:ind w:left="380" w:right="0"/>
              <w:rPr>
                <w:rStyle w:val="top-sectionleft-box"/>
                <w:rFonts w:ascii="Open Sans" w:eastAsia="Open Sans" w:hAnsi="Open Sans" w:cs="Open Sans"/>
                <w:b/>
                <w:bCs/>
                <w:spacing w:val="30"/>
                <w:bdr w:val="none" w:sz="0" w:space="0" w:color="auto"/>
                <w:shd w:val="clear" w:color="auto" w:fill="auto"/>
                <w:vertAlign w:val="baseline"/>
              </w:rPr>
            </w:pPr>
            <w:r>
              <w:rPr>
                <w:rStyle w:val="span"/>
                <w:rFonts w:ascii="Open Sans" w:eastAsia="Open Sans" w:hAnsi="Open Sans" w:cs="Open Sans"/>
                <w:b/>
                <w:bCs/>
                <w:color w:val="FFFFFF"/>
                <w:spacing w:val="30"/>
              </w:rPr>
              <w:t>Psychiatric Nurse</w:t>
            </w:r>
          </w:p>
          <w:p>
            <w:pPr>
              <w:pStyle w:val="top-sectionleft-boxParagraph"/>
              <w:pBdr>
                <w:top w:val="none" w:sz="0" w:space="0" w:color="auto"/>
                <w:left w:val="none" w:sz="0" w:space="0" w:color="auto"/>
                <w:bottom w:val="none" w:sz="0" w:space="0" w:color="auto"/>
                <w:right w:val="none" w:sz="0" w:space="0" w:color="auto"/>
              </w:pBdr>
              <w:shd w:val="clear" w:color="auto" w:fill="auto"/>
              <w:spacing w:line="20" w:lineRule="atLeast"/>
              <w:ind w:left="0" w:right="0"/>
              <w:textAlignment w:val="auto"/>
              <w:rPr>
                <w:rStyle w:val="top-sectionleft-box"/>
                <w:rFonts w:ascii="Open Sans" w:eastAsia="Open Sans" w:hAnsi="Open Sans" w:cs="Open Sans"/>
                <w:sz w:val="2"/>
                <w:szCs w:val="2"/>
                <w:bdr w:val="none" w:sz="0" w:space="0" w:color="auto"/>
                <w:shd w:val="clear" w:color="auto" w:fill="auto"/>
                <w:vertAlign w:val="baseline"/>
              </w:rPr>
            </w:pPr>
          </w:p>
        </w:tc>
        <w:tc>
          <w:tcPr>
            <w:tcW w:w="5720" w:type="dxa"/>
            <w:tcBorders>
              <w:top w:val="single" w:sz="40" w:space="0" w:color="F3D0A8"/>
              <w:bottom w:val="single" w:sz="40" w:space="0" w:color="F3D0A8"/>
            </w:tcBorders>
            <w:shd w:val="clear" w:color="auto" w:fill="FFFFFF"/>
            <w:noWrap w:val="0"/>
            <w:tcMar>
              <w:top w:w="440" w:type="dxa"/>
              <w:left w:w="0" w:type="dxa"/>
              <w:bottom w:w="440" w:type="dxa"/>
              <w:right w:w="0" w:type="dxa"/>
            </w:tcMar>
            <w:vAlign w:val="bottom"/>
            <w:hideMark/>
          </w:tcPr>
          <w:p>
            <w:pPr>
              <w:pStyle w:val="cntc-secaddressdiv"/>
              <w:pBdr>
                <w:top w:val="none" w:sz="0" w:space="0" w:color="auto"/>
                <w:left w:val="none" w:sz="0" w:space="11" w:color="auto"/>
                <w:bottom w:val="none" w:sz="0" w:space="0" w:color="auto"/>
                <w:right w:val="none" w:sz="0" w:space="17" w:color="auto"/>
              </w:pBdr>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Phone</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+91 98765 43210</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Email</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ananya.kulkarni@example.com</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Address</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Pune</w:t>
            </w:r>
            <w:r>
              <w:rPr>
                <w:rStyle w:val="span"/>
                <w:rFonts w:ascii="Arimo" w:eastAsia="Arimo" w:hAnsi="Arimo" w:cs="Arimo"/>
                <w:sz w:val="20"/>
                <w:szCs w:val="20"/>
              </w:rPr>
              <w:t>,</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Maharashtra</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411052</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nth-last-child1"/>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color w:val="000000"/>
                <w:sz w:val="20"/>
                <w:szCs w:val="20"/>
              </w:rPr>
              <w:t>Date of Birth</w:t>
            </w:r>
            <w:r>
              <w:rPr>
                <w:rStyle w:val="top-sectionright-box"/>
                <w:rFonts w:ascii="Arimo" w:eastAsia="Arimo" w:hAnsi="Arimo" w:cs="Arimo"/>
                <w:color w:val="000000"/>
                <w:sz w:val="20"/>
                <w:szCs w:val="20"/>
                <w:bdr w:val="none" w:sz="0" w:space="0" w:color="auto"/>
                <w:shd w:val="clear" w:color="auto" w:fill="auto"/>
                <w:vertAlign w:val="baseline"/>
              </w:rPr>
              <w:t xml:space="preserve"> </w:t>
            </w:r>
            <w:r>
              <w:rPr>
                <w:rStyle w:val="span"/>
                <w:rFonts w:ascii="Arimo" w:eastAsia="Arimo" w:hAnsi="Arimo" w:cs="Arimo"/>
                <w:color w:val="000000"/>
                <w:sz w:val="20"/>
                <w:szCs w:val="20"/>
              </w:rPr>
              <w:t>12 September 1993</w:t>
            </w:r>
            <w:r>
              <w:rPr>
                <w:rStyle w:val="top-sectionright-box"/>
                <w:rFonts w:ascii="Arimo" w:eastAsia="Arimo" w:hAnsi="Arimo" w:cs="Arimo"/>
                <w:color w:val="000000"/>
                <w:sz w:val="20"/>
                <w:szCs w:val="20"/>
                <w:bdr w:val="none" w:sz="0" w:space="0" w:color="auto"/>
                <w:shd w:val="clear" w:color="auto" w:fill="auto"/>
                <w:vertAlign w:val="baseline"/>
              </w:rPr>
              <w:t xml:space="preserve"> </w:t>
            </w:r>
          </w:p>
          <w:p>
            <w:pPr>
              <w:pStyle w:val="cntc-secaddressdivnth-last-child1gap-div"/>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vanish/>
                <w:color w:val="000000"/>
                <w:sz w:val="2"/>
                <w:szCs w:val="2"/>
                <w:bdr w:val="none" w:sz="0" w:space="0" w:color="auto"/>
                <w:shd w:val="clear" w:color="auto" w:fill="auto"/>
                <w:vertAlign w:val="baseline"/>
              </w:rPr>
            </w:pPr>
            <w:r>
              <w:rPr>
                <w:rStyle w:val="top-sectionright-box"/>
                <w:rFonts w:ascii="Arimo" w:eastAsia="Arimo" w:hAnsi="Arimo" w:cs="Arimo"/>
                <w:vanish/>
                <w:color w:val="000000"/>
                <w:sz w:val="2"/>
                <w:szCs w:val="2"/>
                <w:bdr w:val="none" w:sz="0" w:space="0" w:color="auto"/>
                <w:shd w:val="clear" w:color="auto" w:fill="auto"/>
                <w:vertAlign w:val="baseline"/>
              </w:rPr>
              <w:t> </w:t>
            </w:r>
          </w:p>
        </w:tc>
      </w:tr>
    </w:tbl>
    <w:p>
      <w:pPr>
        <w:pStyle w:val="div"/>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color w:val="2C2C2C"/>
          <w:sz w:val="20"/>
          <w:szCs w:val="20"/>
          <w:bdr w:val="none" w:sz="0" w:space="0" w:color="auto"/>
          <w:vertAlign w:val="baseline"/>
        </w:rPr>
      </w:pP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8240" behindDoc="1" locked="0" layoutInCell="1" allowOverlap="1">
            <wp:simplePos x="0" y="0"/>
            <wp:positionH relativeFrom="column">
              <wp:posOffset>0</wp:posOffset>
            </wp:positionH>
            <wp:positionV relativeFrom="paragraph">
              <wp:posOffset>203200</wp:posOffset>
            </wp:positionV>
            <wp:extent cx="7243398" cy="114849"/>
            <wp:wrapNone/>
            <wp:docPr id="10000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943"/>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Professional Summary</w:t>
            </w:r>
          </w:p>
        </w:tc>
      </w:tr>
    </w:tbl>
    <w:p>
      <w:pPr>
        <w:pStyle w:val="summary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260" w:lineRule="atLeast"/>
        <w:ind w:left="0" w:right="0"/>
        <w:rPr>
          <w:rFonts w:ascii="Arimo" w:eastAsia="Arimo" w:hAnsi="Arimo" w:cs="Arimo"/>
          <w:color w:val="2C2C2C"/>
          <w:sz w:val="20"/>
          <w:szCs w:val="20"/>
          <w:bdr w:val="none" w:sz="0" w:space="0" w:color="auto"/>
          <w:vertAlign w:val="baseline"/>
        </w:rPr>
      </w:pPr>
      <w:r>
        <w:rPr>
          <w:rFonts w:ascii="Arimo" w:eastAsia="Arimo" w:hAnsi="Arimo" w:cs="Arimo"/>
          <w:color w:val="2C2C2C"/>
          <w:sz w:val="20"/>
          <w:szCs w:val="20"/>
          <w:bdr w:val="none" w:sz="0" w:space="0" w:color="auto"/>
          <w:vertAlign w:val="baseline"/>
        </w:rPr>
        <w:t>Experienced Psychiatric Nurse skilled in mental health assessment, crisis intervention, and therapeutic communication. Proven ability to manage patient safety and medication adherence while collaborating effectively with healthcare teams. Eager to contribute expertise in psychiatric care and support the growth of a dedicated mental health team.</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203200</wp:posOffset>
            </wp:positionV>
            <wp:extent cx="7243398" cy="114849"/>
            <wp:wrapNone/>
            <wp:docPr id="10000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87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Skills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17"/>
        <w:gridCol w:w="5523"/>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Mental health assessment</w:t>
            </w:r>
          </w:p>
        </w:tc>
        <w:tc>
          <w:tcPr>
            <w:tcW w:w="55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Patient counseling</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Medication management</w:t>
            </w:r>
          </w:p>
        </w:tc>
        <w:tc>
          <w:tcPr>
            <w:tcW w:w="55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Behavioral observation</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Crisis intervention</w:t>
            </w:r>
          </w:p>
        </w:tc>
        <w:tc>
          <w:tcPr>
            <w:tcW w:w="55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Therapeutic communication</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Patient safety monitoring</w:t>
            </w:r>
          </w:p>
        </w:tc>
        <w:tc>
          <w:tcPr>
            <w:tcW w:w="55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Clinical documentation</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De-escalation techniques</w:t>
            </w:r>
          </w:p>
        </w:tc>
        <w:tc>
          <w:tcPr>
            <w:tcW w:w="55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Team collaboration</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0288" behindDoc="1" locked="0" layoutInCell="1" allowOverlap="1">
            <wp:simplePos x="0" y="0"/>
            <wp:positionH relativeFrom="column">
              <wp:posOffset>0</wp:posOffset>
            </wp:positionH>
            <wp:positionV relativeFrom="paragraph">
              <wp:posOffset>203200</wp:posOffset>
            </wp:positionV>
            <wp:extent cx="7243398" cy="114849"/>
            <wp:wrapNone/>
            <wp:docPr id="10000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64"/>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Experience</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Psychiatric Nurse</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KEM Hospital</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Pune</w:t>
      </w:r>
      <w:r>
        <w:rPr>
          <w:rStyle w:val="span"/>
          <w:rFonts w:ascii="Open Sans" w:eastAsia="Open Sans" w:hAnsi="Open Sans" w:cs="Open Sans"/>
          <w:color w:val="2C2C2C"/>
          <w:sz w:val="20"/>
          <w:szCs w:val="20"/>
        </w:rPr>
        <w:t xml:space="preserve">, </w:t>
      </w: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July 2018</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December 2020</w:t>
      </w:r>
    </w:p>
    <w:p>
      <w:pPr>
        <w:pStyle w:val="expr-secli"/>
        <w:numPr>
          <w:ilvl w:val="0"/>
          <w:numId w:val="11"/>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Assessed psychiatric patients daily and documented mental status examinations accurately.</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Administered psychiatric medications and monitored patients for side effects and reactions.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Observed patient behavior and reported mood changes to psychiatrists promptly.</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Supported patients during therapy sessions and structured rehabilitation activities.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Managed aggressive behavior using approved de-escalation techniques safely.</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Maintained detailed nursing notes and updated patient treatment records regularly.</w:t>
      </w:r>
    </w:p>
    <w:p>
      <w:pPr>
        <w:pStyle w:val="linth-last-child1"/>
        <w:numPr>
          <w:ilvl w:val="0"/>
          <w:numId w:val="11"/>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Ensured patient safety and followed hospital mental health care protocols strictly.</w:t>
      </w:r>
    </w:p>
    <w:p>
      <w:pPr>
        <w:pStyle w:val="singlecolumn"/>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Psychiatric Nurse</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Aster Mental Health Centre</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Bengaluru</w:t>
      </w:r>
      <w:r>
        <w:rPr>
          <w:rStyle w:val="span"/>
          <w:rFonts w:ascii="Open Sans" w:eastAsia="Open Sans" w:hAnsi="Open Sans" w:cs="Open Sans"/>
          <w:color w:val="2C2C2C"/>
          <w:sz w:val="20"/>
          <w:szCs w:val="20"/>
        </w:rPr>
        <w:t xml:space="preserve">, </w:t>
      </w:r>
      <w:r>
        <w:rPr>
          <w:rStyle w:val="span"/>
          <w:rFonts w:ascii="Open Sans" w:eastAsia="Open Sans" w:hAnsi="Open Sans" w:cs="Open Sans"/>
          <w:color w:val="2C2C2C"/>
          <w:sz w:val="20"/>
          <w:szCs w:val="20"/>
        </w:rPr>
        <w:t>Karnataka</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January 2021</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Present</w:t>
      </w:r>
    </w:p>
    <w:p>
      <w:pPr>
        <w:pStyle w:val="expr-secli"/>
        <w:numPr>
          <w:ilvl w:val="0"/>
          <w:numId w:val="12"/>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Provided continuous nursing care to inpatients with acute and chronic psychiatric conditions.</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Conducted suicide risk assessments and implemented safety precautions consistently.</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Assisted psychiatrists during patient evaluations and treatment planning discussions.</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Educated patients and families about medication adherence and relapse prevention.</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Handled crisis situations calmly following established emergency response procedures.</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Maintained confidentiality and ethical standards in all patient interactions.</w:t>
      </w:r>
    </w:p>
    <w:p>
      <w:pPr>
        <w:pStyle w:val="linth-last-child1"/>
        <w:numPr>
          <w:ilvl w:val="0"/>
          <w:numId w:val="12"/>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Coordinated discharge planning and community follow-up referrals effectively.</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1312" behindDoc="1" locked="0" layoutInCell="1" allowOverlap="1">
            <wp:simplePos x="0" y="0"/>
            <wp:positionH relativeFrom="column">
              <wp:posOffset>0</wp:posOffset>
            </wp:positionH>
            <wp:positionV relativeFrom="paragraph">
              <wp:posOffset>203200</wp:posOffset>
            </wp:positionV>
            <wp:extent cx="7243398" cy="114849"/>
            <wp:wrapNone/>
            <wp:docPr id="10000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446"/>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Education</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10th Standard</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Sinhgad Spring Dale School</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txt-itl"/>
          <w:rFonts w:ascii="Open Sans" w:eastAsia="Open Sans" w:hAnsi="Open Sans" w:cs="Open Sans"/>
          <w:i/>
          <w:iCs/>
          <w:color w:val="2C2C2C"/>
          <w:sz w:val="20"/>
          <w:szCs w:val="20"/>
        </w:rPr>
        <w:t>Mar 2008</w:t>
      </w:r>
      <w:r>
        <w:rPr>
          <w:rStyle w:val="span"/>
          <w:rFonts w:ascii="Open Sans" w:eastAsia="Open Sans" w:hAnsi="Open Sans" w:cs="Open Sans"/>
          <w:color w:val="2C2C2C"/>
          <w:sz w:val="20"/>
          <w:szCs w:val="20"/>
        </w:rPr>
        <w:t xml:space="preserve"> </w:t>
      </w:r>
    </w:p>
    <w:p>
      <w:pPr>
        <w:pStyle w:val="div"/>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12th Standard</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Fergusson Junior College</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txt-itl"/>
          <w:rFonts w:ascii="Open Sans" w:eastAsia="Open Sans" w:hAnsi="Open Sans" w:cs="Open Sans"/>
          <w:i/>
          <w:iCs/>
          <w:color w:val="2C2C2C"/>
          <w:sz w:val="20"/>
          <w:szCs w:val="20"/>
        </w:rPr>
        <w:t>Mar 2010</w:t>
      </w:r>
      <w:r>
        <w:rPr>
          <w:rStyle w:val="span"/>
          <w:rFonts w:ascii="Open Sans" w:eastAsia="Open Sans" w:hAnsi="Open Sans" w:cs="Open Sans"/>
          <w:color w:val="2C2C2C"/>
          <w:sz w:val="20"/>
          <w:szCs w:val="20"/>
        </w:rPr>
        <w:t xml:space="preserve"> </w:t>
      </w:r>
    </w:p>
    <w:p>
      <w:pPr>
        <w:pStyle w:val="div"/>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Bachelor of Science in Nursing</w:t>
      </w:r>
      <w:r>
        <w:rPr>
          <w:rStyle w:val="txt-boldCharacter"/>
          <w:rFonts w:ascii="Open Sans" w:eastAsia="Open Sans" w:hAnsi="Open Sans" w:cs="Open Sans"/>
          <w:b/>
          <w:bCs/>
          <w:caps/>
          <w:color w:val="2C2C2C"/>
          <w:sz w:val="20"/>
          <w:szCs w:val="20"/>
        </w:rPr>
        <w:t xml:space="preserve"> in </w:t>
      </w:r>
      <w:r>
        <w:rPr>
          <w:rStyle w:val="txt-boldCharacter"/>
          <w:rFonts w:ascii="Open Sans" w:eastAsia="Open Sans" w:hAnsi="Open Sans" w:cs="Open Sans"/>
          <w:b/>
          <w:bCs/>
          <w:caps/>
          <w:color w:val="2C2C2C"/>
          <w:sz w:val="20"/>
          <w:szCs w:val="20"/>
        </w:rPr>
        <w:t>General Nursing and Mental Health Nursing</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College of Nursing, BJ Medical College</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txt-itl"/>
          <w:rFonts w:ascii="Open Sans" w:eastAsia="Open Sans" w:hAnsi="Open Sans" w:cs="Open Sans"/>
          <w:i/>
          <w:iCs/>
          <w:color w:val="2C2C2C"/>
          <w:sz w:val="20"/>
          <w:szCs w:val="20"/>
        </w:rPr>
        <w:t>May 2014</w:t>
      </w:r>
      <w:r>
        <w:rPr>
          <w:rStyle w:val="span"/>
          <w:rFonts w:ascii="Open Sans" w:eastAsia="Open Sans" w:hAnsi="Open Sans" w:cs="Open Sans"/>
          <w:color w:val="2C2C2C"/>
          <w:sz w:val="20"/>
          <w:szCs w:val="20"/>
        </w:rPr>
        <w:t xml:space="preserve"> </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203200</wp:posOffset>
            </wp:positionV>
            <wp:extent cx="7243398" cy="114849"/>
            <wp:wrapNone/>
            <wp:docPr id="100010"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869"/>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Certifications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19"/>
        <w:gridCol w:w="5521"/>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Mental Health Nursing Training, National Institute of Mental Health</w:t>
            </w:r>
          </w:p>
        </w:tc>
        <w:tc>
          <w:tcPr>
            <w:tcW w:w="55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Patient Safety Certification, NABH</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Registered Nurse License, Maharashtra Nursing Council</w:t>
            </w:r>
          </w:p>
        </w:tc>
        <w:tc>
          <w:tcPr>
            <w:tcW w:w="5520"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Basic Life Support Certification, Indian Resuscitation Council</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203200</wp:posOffset>
            </wp:positionV>
            <wp:extent cx="7243398" cy="114849"/>
            <wp:wrapNone/>
            <wp:docPr id="10001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22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Projects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Patient relapse prevention education program in psychiatric ward. Stress management workshop project for long-term psychiatric patients.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203200</wp:posOffset>
            </wp:positionV>
            <wp:extent cx="7243398" cy="114849"/>
            <wp:wrapNone/>
            <wp:docPr id="10001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266"/>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Industry</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Mental Healthcare and Hospital Services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203200</wp:posOffset>
            </wp:positionV>
            <wp:extent cx="7243398" cy="114849"/>
            <wp:wrapNone/>
            <wp:docPr id="10001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381"/>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Accomplishments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ulli"/>
        <w:numPr>
          <w:ilvl w:val="0"/>
          <w:numId w:val="17"/>
        </w:numPr>
        <w:pBdr>
          <w:top w:val="none" w:sz="0" w:space="0" w:color="auto"/>
          <w:left w:val="none" w:sz="0" w:space="0" w:color="auto"/>
          <w:bottom w:val="none" w:sz="0" w:space="0" w:color="auto"/>
          <w:right w:val="none" w:sz="0" w:space="0" w:color="auto"/>
        </w:pBdr>
        <w:spacing w:before="240" w:after="10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Recognized for effective crisis handling at KEM Hospital psychiatric unit.</w:t>
      </w:r>
    </w:p>
    <w:p>
      <w:pPr>
        <w:pStyle w:val="ulli"/>
        <w:numPr>
          <w:ilvl w:val="0"/>
          <w:numId w:val="17"/>
        </w:numPr>
        <w:spacing w:after="10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Reduced patient incident reports through safety monitoring at Aster Mental Health Centre.</w:t>
      </w:r>
    </w:p>
    <w:p>
      <w:pPr>
        <w:pStyle w:val="linth-last-child1"/>
        <w:numPr>
          <w:ilvl w:val="0"/>
          <w:numId w:val="17"/>
        </w:numPr>
        <w:pBdr>
          <w:left w:val="none" w:sz="0" w:space="7" w:color="auto"/>
        </w:pBdr>
        <w:spacing w:after="0" w:line="260" w:lineRule="atLeast"/>
        <w:ind w:left="800" w:right="0" w:hanging="332"/>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Appreciated for patient counseling support during recovery programs at Aster.</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203200</wp:posOffset>
            </wp:positionV>
            <wp:extent cx="7243398" cy="114849"/>
            <wp:wrapNone/>
            <wp:docPr id="10001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78"/>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References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Style w:val="sectionrefrencerefparatable"/>
        <w:tblCellSpacing w:w="0" w:type="dxa"/>
        <w:tblInd w:w="0" w:type="dxa"/>
        <w:tblCellMar>
          <w:top w:w="0" w:type="dxa"/>
          <w:left w:w="0" w:type="dxa"/>
          <w:bottom w:w="0" w:type="dxa"/>
          <w:right w:w="0" w:type="dxa"/>
        </w:tblCellMar>
        <w:tblLook w:val="05E0"/>
      </w:tblPr>
      <w:tblGrid>
        <w:gridCol w:w="5518"/>
        <w:gridCol w:w="297"/>
        <w:gridCol w:w="5506"/>
      </w:tblGrid>
      <w:tr>
        <w:tblPrEx>
          <w:tblCellSpacing w:w="0" w:type="dxa"/>
          <w:tblInd w:w="0" w:type="dxa"/>
          <w:tblCellMar>
            <w:top w:w="0" w:type="dxa"/>
            <w:left w:w="0" w:type="dxa"/>
            <w:bottom w:w="0" w:type="dxa"/>
            <w:right w:w="0" w:type="dxa"/>
          </w:tblCellMar>
          <w:tblLook w:val="05E0"/>
        </w:tblPrEx>
        <w:trPr>
          <w:tblCellSpacing w:w="0" w:type="dxa"/>
        </w:trPr>
        <w:tc>
          <w:tcPr>
            <w:tcW w:w="557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References available upon request</w:t>
            </w:r>
          </w:p>
        </w:tc>
        <w:tc>
          <w:tcPr>
            <w:tcW w:w="300" w:type="dxa"/>
            <w:tcMar>
              <w:top w:w="0" w:type="dxa"/>
              <w:left w:w="0" w:type="dxa"/>
              <w:bottom w:w="0" w:type="dxa"/>
              <w:right w:w="0" w:type="dxa"/>
            </w:tcMar>
            <w:vAlign w:val="bottom"/>
            <w:hideMark/>
          </w:tcPr>
          <w:p/>
        </w:tc>
        <w:tc>
          <w:tcPr>
            <w:tcW w:w="5570" w:type="dxa"/>
            <w:tcMar>
              <w:top w:w="0" w:type="dxa"/>
              <w:left w:w="0" w:type="dxa"/>
              <w:bottom w:w="0" w:type="dxa"/>
              <w:right w:w="0" w:type="dxa"/>
            </w:tcMar>
            <w:vAlign w:val="bottom"/>
            <w:hideMark/>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83E21C02-6B1C-46E8-B527-3AA57FF786C5}"/>
    <w:embedBold r:id="rId2" w:fontKey="{256167D3-5A35-4518-8719-93150625E504}"/>
    <w:embedItalic r:id="rId3" w:fontKey="{6230601A-3332-40A5-829D-3F9F88D29F85}"/>
  </w:font>
  <w:font w:name="Arimo">
    <w:charset w:val="00"/>
    <w:family w:val="auto"/>
    <w:pitch w:val="default"/>
    <w:sig w:usb0="00000000" w:usb1="00000000" w:usb2="00000000" w:usb3="00000000" w:csb0="00000001" w:csb1="00000000"/>
    <w:embedRegular r:id="rId4" w:fontKey="{CFD32732-3E16-47C3-8E03-8D3B6D577126}"/>
    <w:embedBold r:id="rId5" w:fontKey="{5C7D7BBC-52CA-47F1-B934-1FF96D318542}"/>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1">
    <w:name w:val="document_skn-slo1"/>
    <w:basedOn w:val="Normal"/>
    <w:pPr>
      <w:spacing w:line="260" w:lineRule="atLeast"/>
    </w:pPr>
    <w:rPr>
      <w:color w:val="2C2C2C"/>
    </w:rPr>
  </w:style>
  <w:style w:type="character" w:customStyle="1" w:styleId="top-sectionleft-box">
    <w:name w:val="top-section_left-box"/>
    <w:basedOn w:val="DefaultParagraphFont"/>
    <w:rPr>
      <w:color w:val="FFFFFF"/>
      <w:shd w:val="clear" w:color="auto" w:fill="E18926"/>
    </w:rPr>
  </w:style>
  <w:style w:type="paragraph" w:customStyle="1" w:styleId="name-secsection">
    <w:name w:val="name-sec_section"/>
    <w:basedOn w:val="Normal"/>
    <w:pPr>
      <w:pBdr>
        <w:bottom w:val="none" w:sz="0" w:space="0" w:color="auto"/>
      </w:pBdr>
    </w:pPr>
  </w:style>
  <w:style w:type="paragraph" w:customStyle="1" w:styleId="firstparagraph">
    <w:name w:val="firstparagraph"/>
    <w:basedOn w:val="Normal"/>
  </w:style>
  <w:style w:type="paragraph" w:customStyle="1" w:styleId="txt-bold">
    <w:name w:val="txt-bold"/>
    <w:basedOn w:val="Normal"/>
    <w:rPr>
      <w:b/>
      <w:bCs/>
    </w:rPr>
  </w:style>
  <w:style w:type="character" w:customStyle="1" w:styleId="span">
    <w:name w:val="span"/>
    <w:basedOn w:val="DefaultParagraphFont"/>
    <w:rPr>
      <w:bdr w:val="none" w:sz="0" w:space="0" w:color="auto"/>
      <w:vertAlign w:val="baseline"/>
    </w:rPr>
  </w:style>
  <w:style w:type="paragraph" w:customStyle="1" w:styleId="top-sectionleft-boxParagraph">
    <w:name w:val="top-section_left-box Paragraph"/>
    <w:basedOn w:val="Normal"/>
    <w:pPr>
      <w:pBdr>
        <w:top w:val="single" w:sz="40" w:space="23" w:color="E18926"/>
        <w:bottom w:val="single" w:sz="40" w:space="22" w:color="E18926"/>
      </w:pBdr>
      <w:shd w:val="clear" w:color="auto" w:fill="E18926"/>
      <w:jc w:val="left"/>
    </w:pPr>
    <w:rPr>
      <w:color w:val="FFFFFF"/>
      <w:shd w:val="clear" w:color="auto" w:fill="E18926"/>
    </w:rPr>
  </w:style>
  <w:style w:type="character" w:customStyle="1" w:styleId="top-sectionright-box">
    <w:name w:val="top-section_right-box"/>
    <w:basedOn w:val="DefaultParagraphFont"/>
    <w:rPr>
      <w:shd w:val="clear" w:color="auto" w:fill="FFFFFF"/>
    </w:rPr>
  </w:style>
  <w:style w:type="paragraph" w:customStyle="1" w:styleId="cntc-secsection">
    <w:name w:val="cntc-sec_section"/>
    <w:basedOn w:val="Normal"/>
    <w:pPr>
      <w:pBdr>
        <w:left w:val="none" w:sz="0" w:space="11" w:color="auto"/>
        <w:bottom w:val="none" w:sz="0" w:space="0" w:color="auto"/>
        <w:right w:val="none" w:sz="0" w:space="17" w:color="auto"/>
      </w:pBdr>
      <w:spacing w:line="260" w:lineRule="atLeast"/>
    </w:pPr>
  </w:style>
  <w:style w:type="paragraph" w:customStyle="1" w:styleId="address">
    <w:name w:val="address"/>
    <w:basedOn w:val="Normal"/>
    <w:rPr>
      <w:rFonts w:ascii="Arimo" w:eastAsia="Arimo" w:hAnsi="Arimo" w:cs="Arimo"/>
    </w:rPr>
  </w:style>
  <w:style w:type="paragraph" w:customStyle="1" w:styleId="cntc-secaddressdiv">
    <w:name w:val="cntc-sec_address_div"/>
    <w:basedOn w:val="Normal"/>
    <w:rPr>
      <w:color w:val="000000"/>
    </w:rPr>
  </w:style>
  <w:style w:type="character" w:customStyle="1" w:styleId="txt-boldCharacter">
    <w:name w:val="txt-bold Character"/>
    <w:basedOn w:val="DefaultParagraphFont"/>
    <w:rPr>
      <w:b/>
      <w:bCs/>
    </w:rPr>
  </w:style>
  <w:style w:type="paragraph" w:customStyle="1" w:styleId="cntc-secaddressdivnth-last-child1">
    <w:name w:val="cntc-sec_address_div_nth-last-child(1)"/>
    <w:basedOn w:val="Normal"/>
  </w:style>
  <w:style w:type="paragraph" w:customStyle="1" w:styleId="cntc-secaddressdivnth-last-child1gap-div">
    <w:name w:val="cntc-sec_address_div_nth-last-child(1)_gap-div"/>
    <w:basedOn w:val="Normal"/>
    <w:rPr>
      <w:vanish/>
    </w:rPr>
  </w:style>
  <w:style w:type="table" w:customStyle="1" w:styleId="top-section">
    <w:name w:val="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dashed-line">
    <w:name w:val="dashed-line"/>
    <w:basedOn w:val="Normal"/>
    <w:pPr>
      <w:spacing w:line="14" w:lineRule="atLeast"/>
    </w:pPr>
    <w:rPr>
      <w:sz w:val="20"/>
      <w:szCs w:val="20"/>
    </w:rPr>
  </w:style>
  <w:style w:type="character" w:customStyle="1" w:styleId="sectiontitle">
    <w:name w:val="sectiontitle"/>
    <w:basedOn w:val="DefaultParagraphFont"/>
    <w:rPr>
      <w:sz w:val="24"/>
      <w:szCs w:val="24"/>
      <w:shd w:val="clear" w:color="auto" w:fill="FFFFFF"/>
    </w:rPr>
  </w:style>
  <w:style w:type="paragraph" w:customStyle="1" w:styleId="sectiontitleParagraph">
    <w:name w:val="sectiontitle Paragraph"/>
    <w:basedOn w:val="Normal"/>
    <w:pPr>
      <w:pBdr>
        <w:top w:val="none" w:sz="0" w:space="0" w:color="auto"/>
        <w:left w:val="none" w:sz="0" w:space="0" w:color="auto"/>
        <w:bottom w:val="none" w:sz="0" w:space="0" w:color="auto"/>
        <w:right w:val="none" w:sz="0" w:space="3" w:color="auto"/>
      </w:pBdr>
      <w:shd w:val="clear" w:color="auto" w:fill="FFFFFF"/>
      <w:spacing w:line="280" w:lineRule="atLeast"/>
    </w:pPr>
    <w:rPr>
      <w:sz w:val="24"/>
      <w:szCs w:val="24"/>
      <w:shd w:val="clear" w:color="auto" w:fill="FFFFFF"/>
    </w:rPr>
  </w:style>
  <w:style w:type="table" w:customStyle="1" w:styleId="heading">
    <w:name w:val="heading"/>
    <w:basedOn w:val="TableNormal"/>
    <w:tblPr/>
  </w:style>
  <w:style w:type="paragraph" w:customStyle="1" w:styleId="summaryheadinggap-div">
    <w:name w:val="summary_heading + gap-div"/>
    <w:basedOn w:val="Normal"/>
    <w:pPr>
      <w:spacing w:line="160" w:lineRule="atLeast"/>
    </w:pPr>
  </w:style>
  <w:style w:type="paragraph" w:customStyle="1" w:styleId="summarysinglecolumn">
    <w:name w:val="summary_singlecolumn"/>
    <w:basedOn w:val="Normal"/>
    <w:rPr>
      <w:rFonts w:ascii="Arimo" w:eastAsia="Arimo" w:hAnsi="Arimo" w:cs="Arimo"/>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gap-div">
    <w:name w:val="gap-div"/>
    <w:basedOn w:val="Normal"/>
    <w:pPr>
      <w:spacing w:line="240" w:lineRule="atLeast"/>
    </w:pPr>
    <w:rPr>
      <w:sz w:val="2"/>
      <w:szCs w:val="2"/>
    </w:rPr>
  </w:style>
  <w:style w:type="paragraph" w:customStyle="1" w:styleId="headinggap-div">
    <w:name w:val="heading + gap-div"/>
    <w:basedOn w:val="Normal"/>
    <w:pPr>
      <w:spacing w:line="280" w:lineRule="atLeast"/>
    </w:pPr>
  </w:style>
  <w:style w:type="paragraph" w:customStyle="1" w:styleId="two-col-list-wrapperparagraph">
    <w:name w:val="two-col-list-wrapper_paragraph"/>
    <w:basedOn w:val="Normal"/>
  </w:style>
  <w:style w:type="paragraph" w:customStyle="1" w:styleId="singlecolumn">
    <w:name w:val="singlecolumn"/>
    <w:basedOn w:val="Normal"/>
  </w:style>
  <w:style w:type="paragraph" w:customStyle="1" w:styleId="two-col-list-wrapperliasposeli">
    <w:name w:val="two-col-list-wrapper_li_asposeli"/>
    <w:basedOn w:val="Normal"/>
  </w:style>
  <w:style w:type="character" w:customStyle="1" w:styleId="pCharacter">
    <w:name w:val="p Character"/>
    <w:basedOn w:val="DefaultParagraphFont"/>
    <w:rPr>
      <w:bdr w:val="none" w:sz="0" w:space="0" w:color="auto"/>
      <w:vertAlign w:val="baseline"/>
    </w:rPr>
  </w:style>
  <w:style w:type="character" w:customStyle="1" w:styleId="singlecolumnspanpaddedlinenth-child1">
    <w:name w:val="singlecolumn_span_paddedline_nth-child(1)"/>
    <w:basedOn w:val="DefaultParagraphFont"/>
  </w:style>
  <w:style w:type="paragraph" w:customStyle="1" w:styleId="paddedline">
    <w:name w:val="paddedline"/>
    <w:basedOn w:val="Normal"/>
  </w:style>
  <w:style w:type="character" w:customStyle="1" w:styleId="txt-itl">
    <w:name w:val="txt-itl"/>
    <w:basedOn w:val="DefaultParagraphFont"/>
    <w:rPr>
      <w:i/>
      <w:iCs/>
    </w:rPr>
  </w:style>
  <w:style w:type="paragraph" w:customStyle="1" w:styleId="expr-secli">
    <w:name w:val="expr-sec_li"/>
    <w:basedOn w:val="Normal"/>
    <w:rPr>
      <w:rFonts w:ascii="Arimo" w:eastAsia="Arimo" w:hAnsi="Arimo" w:cs="Arimo"/>
    </w:rPr>
  </w:style>
  <w:style w:type="paragraph" w:customStyle="1" w:styleId="linth-last-child1">
    <w:name w:val="li_nth-last-child(1)"/>
    <w:basedOn w:val="Normal"/>
  </w:style>
  <w:style w:type="paragraph" w:customStyle="1" w:styleId="paragraph">
    <w:name w:val="paragraph"/>
    <w:basedOn w:val="Normal"/>
  </w:style>
  <w:style w:type="paragraph" w:customStyle="1" w:styleId="disp-block">
    <w:name w:val="disp-block"/>
    <w:basedOn w:val="Normal"/>
  </w:style>
  <w:style w:type="paragraph" w:customStyle="1" w:styleId="ulli">
    <w:name w:val="ul_li"/>
    <w:basedOn w:val="Normal"/>
    <w:pPr>
      <w:pBdr>
        <w:left w:val="none" w:sz="0" w:space="7" w:color="auto"/>
      </w:pBdr>
    </w:pPr>
  </w:style>
  <w:style w:type="character" w:customStyle="1" w:styleId="sectionrefrenceparagraph">
    <w:name w:val="section_refrence_paragraph"/>
    <w:basedOn w:val="DefaultParagraphFont"/>
  </w:style>
  <w:style w:type="table" w:customStyle="1" w:styleId="sectionrefrencerefparatable">
    <w:name w:val="section_refrence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