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mlx5top-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80"/>
        <w:gridCol w:w="20"/>
        <w:gridCol w:w="20"/>
        <w:gridCol w:w="11240"/>
        <w:gridCol w:w="48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rHeight w:val="1600"/>
          <w:tblCellSpacing w:w="0" w:type="dxa"/>
        </w:trPr>
        <w:tc>
          <w:tcPr>
            <w:tcW w:w="480" w:type="dxa"/>
            <w:tcMar>
              <w:top w:w="360" w:type="dxa"/>
              <w:left w:w="0" w:type="dxa"/>
              <w:bottom w:w="360" w:type="dxa"/>
              <w:right w:w="0" w:type="dxa"/>
            </w:tcMar>
            <w:vAlign w:val="top"/>
            <w:hideMark/>
          </w:tcPr>
          <w:p>
            <w:pPr>
              <w:rPr>
                <w:rFonts w:ascii="Open Sans" w:eastAsia="Open Sans" w:hAnsi="Open Sans" w:cs="Open Sans"/>
                <w:color w:val="181818"/>
                <w:sz w:val="20"/>
                <w:szCs w:val="20"/>
              </w:rPr>
            </w:pPr>
          </w:p>
        </w:tc>
        <w:tc>
          <w:tcPr>
            <w:tcW w:w="20" w:type="dxa"/>
            <w:tcMar>
              <w:top w:w="360" w:type="dxa"/>
              <w:left w:w="0" w:type="dxa"/>
              <w:bottom w:w="360" w:type="dxa"/>
              <w:right w:w="0" w:type="dxa"/>
            </w:tcMar>
            <w:vAlign w:val="center"/>
            <w:hideMark/>
          </w:tcPr>
          <w:p>
            <w:pPr>
              <w:pStyle w:val="skn-mlx5top-patter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" w:lineRule="exact"/>
              <w:ind w:left="0" w:right="0"/>
              <w:rPr>
                <w:rStyle w:val="skn-mlx5pict-pcpf-nonetop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</w:p>
          <w:p>
            <w:pPr>
              <w:pStyle w:val="skn-mlx5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20" w:lineRule="exact"/>
              <w:ind w:left="0" w:right="0"/>
              <w:rPr>
                <w:rStyle w:val="skn-mlx5pict-pcpf-nonetop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pict-pcpf-nonetop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drawing>
                <wp:anchor simplePos="0" relativeHeight="251658240" behindDoc="1" locked="0" layoutInCell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-25400</wp:posOffset>
                  </wp:positionV>
                  <wp:extent cx="7760335" cy="1525880"/>
                  <wp:wrapNone/>
                  <wp:docPr id="100003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3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60335" cy="1525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color w:val="FFFFFF"/>
                <w:sz w:val="2"/>
              </w:rPr>
              <w:t>.</w:t>
            </w:r>
          </w:p>
        </w:tc>
        <w:tc>
          <w:tcPr>
            <w:tcW w:w="20" w:type="dxa"/>
            <w:tcMar>
              <w:top w:w="360" w:type="dxa"/>
              <w:left w:w="0" w:type="dxa"/>
              <w:bottom w:w="360" w:type="dxa"/>
              <w:right w:w="0" w:type="dxa"/>
            </w:tcMar>
            <w:vAlign w:val="top"/>
            <w:hideMark/>
          </w:tcPr>
          <w:p>
            <w:pPr>
              <w:pStyle w:val="skn-mlx5top-sectionmidPaddingCellParagraph"/>
              <w:spacing w:line="20" w:lineRule="atLeast"/>
              <w:ind w:left="0" w:right="0"/>
              <w:rPr>
                <w:rStyle w:val="skn-mlx5top-sectionmidPaddingCell"/>
                <w:rFonts w:ascii="Open Sans" w:eastAsia="Open Sans" w:hAnsi="Open Sans" w:cs="Open Sans"/>
                <w:color w:val="181818"/>
                <w:sz w:val="2"/>
                <w:szCs w:val="2"/>
              </w:rPr>
            </w:pPr>
          </w:p>
        </w:tc>
        <w:tc>
          <w:tcPr>
            <w:tcW w:w="11240" w:type="dxa"/>
            <w:tcMar>
              <w:top w:w="360" w:type="dxa"/>
              <w:left w:w="0" w:type="dxa"/>
              <w:bottom w:w="360" w:type="dxa"/>
              <w:right w:w="0" w:type="dxa"/>
            </w:tcMar>
            <w:vAlign w:val="center"/>
            <w:hideMark/>
          </w:tcPr>
          <w:p>
            <w:pPr>
              <w:pStyle w:val="skn-mlx5nam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940" w:lineRule="exact"/>
              <w:ind w:left="0" w:right="0"/>
              <w:jc w:val="right"/>
              <w:rPr>
                <w:rStyle w:val="skn-mlx5top-sectionname-box"/>
                <w:rFonts w:ascii="Teko" w:eastAsia="Teko" w:hAnsi="Teko" w:cs="Teko"/>
                <w:caps/>
                <w:color w:val="FFFFFF"/>
                <w:sz w:val="90"/>
                <w:szCs w:val="90"/>
              </w:rPr>
            </w:pPr>
            <w:r>
              <w:rPr>
                <w:rStyle w:val="skn-mlx5anyCharacter"/>
                <w:caps/>
              </w:rPr>
              <w:t>Arjun</w:t>
            </w:r>
            <w:r>
              <w:rPr>
                <w:rStyle w:val="skn-mlx5top-sectionname-box"/>
                <w:caps/>
              </w:rPr>
              <w:t xml:space="preserve"> </w:t>
            </w:r>
            <w:r>
              <w:rPr>
                <w:rStyle w:val="skn-mlx5anyCharacter"/>
                <w:caps/>
              </w:rPr>
              <w:t>Malhotra</w:t>
            </w:r>
          </w:p>
          <w:p>
            <w:pPr>
              <w:pStyle w:val="skn-mlx5txt-bol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40" w:lineRule="atLeast"/>
              <w:ind w:left="0" w:right="0"/>
              <w:jc w:val="right"/>
              <w:rPr>
                <w:rStyle w:val="skn-mlx5top-sectionname-box"/>
                <w:rFonts w:ascii="Open Sans" w:eastAsia="Open Sans" w:hAnsi="Open Sans" w:cs="Open Sans"/>
                <w:b/>
                <w:bCs/>
                <w:color w:val="FFFFFF"/>
                <w:spacing w:val="48"/>
                <w:sz w:val="28"/>
                <w:szCs w:val="28"/>
              </w:rPr>
            </w:pPr>
            <w:r>
              <w:rPr>
                <w:rStyle w:val="skn-mlx5anyCharacter"/>
                <w:rFonts w:ascii="Open Sans" w:eastAsia="Open Sans" w:hAnsi="Open Sans" w:cs="Open Sans"/>
                <w:b/>
                <w:bCs/>
                <w:color w:val="FFFFFF"/>
                <w:spacing w:val="48"/>
                <w:sz w:val="28"/>
                <w:szCs w:val="28"/>
              </w:rPr>
              <w:t>Nurse Anesthetist</w:t>
            </w:r>
          </w:p>
        </w:tc>
        <w:tc>
          <w:tcPr>
            <w:tcW w:w="480" w:type="dxa"/>
            <w:tcMar>
              <w:top w:w="360" w:type="dxa"/>
              <w:left w:w="0" w:type="dxa"/>
              <w:bottom w:w="360" w:type="dxa"/>
              <w:right w:w="0" w:type="dxa"/>
            </w:tcMar>
            <w:vAlign w:val="top"/>
            <w:hideMark/>
          </w:tcPr>
          <w:p>
            <w:pPr>
              <w:pStyle w:val="skn-mlx5txt-bol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40" w:lineRule="atLeast"/>
              <w:ind w:left="0" w:right="0"/>
              <w:jc w:val="right"/>
              <w:rPr>
                <w:rStyle w:val="skn-mlx5anyCharacter"/>
                <w:rFonts w:ascii="Open Sans" w:eastAsia="Open Sans" w:hAnsi="Open Sans" w:cs="Open Sans"/>
                <w:b/>
                <w:bCs/>
                <w:color w:val="FFFFFF"/>
                <w:spacing w:val="48"/>
                <w:sz w:val="28"/>
                <w:szCs w:val="28"/>
              </w:rPr>
            </w:pPr>
          </w:p>
        </w:tc>
      </w:tr>
    </w:tbl>
    <w:p>
      <w:pPr>
        <w:spacing w:line="400" w:lineRule="exact"/>
        <w:sectPr>
          <w:headerReference w:type="default" r:id="rId5"/>
          <w:pgSz w:w="12240" w:h="15840"/>
          <w:pgMar w:top="0" w:right="0" w:bottom="0" w:left="0" w:header="0" w:footer="0"/>
          <w:cols w:space="720"/>
        </w:sectPr>
      </w:pPr>
    </w:p>
    <w:p>
      <w:pPr>
        <w:spacing w:line="400" w:lineRule="exact"/>
      </w:pP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</w:pPr>
      <w:r>
        <w:rPr>
          <w:color w:val="FFFFFF"/>
          <w:sz w:val="2"/>
        </w:rPr>
        <w:t>.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  <w:rPr>
          <w:vanish/>
        </w:rPr>
      </w:pPr>
      <w:r>
        <w:rPr>
          <w:color w:val="FFFFFF"/>
          <w:sz w:val="2"/>
        </w:rPr>
        <w:t>.</w:t>
      </w:r>
    </w:p>
    <w:tbl>
      <w:tblPr>
        <w:tblStyle w:val="skn-mlx5mid-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80"/>
        <w:gridCol w:w="3200"/>
        <w:gridCol w:w="250"/>
        <w:gridCol w:w="240"/>
        <w:gridCol w:w="7590"/>
        <w:gridCol w:w="48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80" w:type="dxa"/>
            <w:tcMar>
              <w:top w:w="0" w:type="dxa"/>
              <w:left w:w="0" w:type="dxa"/>
              <w:bottom w:w="480" w:type="dxa"/>
              <w:right w:w="0" w:type="dxa"/>
            </w:tcMar>
            <w:vAlign w:val="top"/>
            <w:hideMark/>
          </w:tcPr>
          <w:p>
            <w:pPr>
              <w:pStyle w:val="skn-mlx5mid-sectionleftrightpaddingcellParagraph"/>
              <w:spacing w:line="240" w:lineRule="atLeast"/>
              <w:ind w:left="0" w:right="0"/>
              <w:rPr>
                <w:rStyle w:val="skn-mlx5mid-sectionleftrightpaddingcell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</w:p>
        </w:tc>
        <w:tc>
          <w:tcPr>
            <w:tcW w:w="3200" w:type="dxa"/>
            <w:tcMar>
              <w:top w:w="0" w:type="dxa"/>
              <w:left w:w="0" w:type="dxa"/>
              <w:bottom w:w="480" w:type="dxa"/>
              <w:right w:w="0" w:type="dxa"/>
            </w:tcMar>
            <w:vAlign w:val="top"/>
            <w:hideMark/>
          </w:tcPr>
          <w:p>
            <w:pPr>
              <w:pStyle w:val="skn-mlx5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240"/>
              <w:ind w:left="0" w:right="0"/>
              <w:rPr>
                <w:rStyle w:val="skn-mlx5mid-sectionleft-box"/>
                <w:rFonts w:ascii="Teko SemiBold" w:eastAsia="Teko SemiBold" w:hAnsi="Teko SemiBold" w:cs="Teko SemiBold"/>
                <w:caps/>
                <w:color w:val="61C1B1"/>
                <w:spacing w:val="6"/>
              </w:rPr>
            </w:pPr>
            <w:r>
              <w:rPr>
                <w:rStyle w:val="skn-mlx5mid-sectionleft-box"/>
                <w:caps/>
              </w:rPr>
              <w:t>Contact</w:t>
            </w:r>
          </w:p>
          <w:p>
            <w:pPr>
              <w:pStyle w:val="skn-mlx5icon-rowicon-label"/>
              <w:pBdr>
                <w:top w:val="none" w:sz="0" w:space="0" w:color="auto"/>
                <w:left w:val="none" w:sz="0" w:space="0" w:color="auto"/>
                <w:bottom w:val="none" w:sz="0" w:space="2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x5mid-sectionleft-box"/>
                <w:rFonts w:ascii="Open Sans SemiBold" w:eastAsia="Open Sans SemiBold" w:hAnsi="Open Sans SemiBold" w:cs="Open Sans SemiBold"/>
                <w:b/>
                <w:bCs/>
                <w:color w:val="181818"/>
                <w:sz w:val="20"/>
                <w:szCs w:val="20"/>
              </w:rPr>
            </w:pPr>
            <w:r>
              <w:rPr>
                <w:rStyle w:val="skn-mlx5anyCharacter"/>
                <w:b/>
                <w:bCs/>
                <w:color w:val="181818"/>
                <w:sz w:val="20"/>
                <w:szCs w:val="20"/>
              </w:rPr>
              <w:t>Phone</w:t>
            </w:r>
          </w:p>
          <w:p>
            <w:pPr>
              <w:pStyle w:val="skn-mlx5cntc-secico-tx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160" w:line="240" w:lineRule="atLeast"/>
              <w:ind w:left="0" w:right="0"/>
              <w:rPr>
                <w:rStyle w:val="skn-mlx5mid-sectionleft-box"/>
                <w:rFonts w:ascii="Open Sans Light" w:eastAsia="Open Sans Light" w:hAnsi="Open Sans Light" w:cs="Open Sans Light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5anyCharacter"/>
                <w:b w:val="0"/>
                <w:bCs w:val="0"/>
                <w:color w:val="181818"/>
                <w:sz w:val="20"/>
                <w:szCs w:val="20"/>
              </w:rPr>
              <w:t>+91 98765 43210</w:t>
            </w:r>
            <w:r>
              <w:rPr>
                <w:rStyle w:val="skn-mlx5mid-sectionleft-box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</w:p>
          <w:p>
            <w:pPr>
              <w:pStyle w:val="skn-mlx5icon-rowicon-label"/>
              <w:pBdr>
                <w:top w:val="none" w:sz="0" w:space="0" w:color="auto"/>
                <w:left w:val="none" w:sz="0" w:space="0" w:color="auto"/>
                <w:bottom w:val="none" w:sz="0" w:space="2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x5mid-sectionleft-box"/>
                <w:rFonts w:ascii="Open Sans SemiBold" w:eastAsia="Open Sans SemiBold" w:hAnsi="Open Sans SemiBold" w:cs="Open Sans SemiBold"/>
                <w:b/>
                <w:bCs/>
                <w:color w:val="181818"/>
                <w:sz w:val="20"/>
                <w:szCs w:val="20"/>
              </w:rPr>
            </w:pPr>
            <w:r>
              <w:rPr>
                <w:rStyle w:val="skn-mlx5anyCharacter"/>
                <w:b/>
                <w:bCs/>
                <w:color w:val="181818"/>
                <w:sz w:val="20"/>
                <w:szCs w:val="20"/>
              </w:rPr>
              <w:t>Email</w:t>
            </w:r>
          </w:p>
          <w:p>
            <w:pPr>
              <w:pStyle w:val="skn-mlx5cntc-secico-tx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160" w:line="240" w:lineRule="atLeast"/>
              <w:ind w:left="0" w:right="0"/>
              <w:rPr>
                <w:rStyle w:val="skn-mlx5mid-sectionleft-box"/>
                <w:rFonts w:ascii="Open Sans Light" w:eastAsia="Open Sans Light" w:hAnsi="Open Sans Light" w:cs="Open Sans Light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5anyCharacter"/>
                <w:b w:val="0"/>
                <w:bCs w:val="0"/>
                <w:color w:val="181818"/>
                <w:sz w:val="20"/>
                <w:szCs w:val="20"/>
              </w:rPr>
              <w:t>arjun.malhotra@example.com</w:t>
            </w:r>
          </w:p>
          <w:p>
            <w:pPr>
              <w:pStyle w:val="skn-mlx5icon-rowicon-label"/>
              <w:pBdr>
                <w:top w:val="none" w:sz="0" w:space="0" w:color="auto"/>
                <w:left w:val="none" w:sz="0" w:space="0" w:color="auto"/>
                <w:bottom w:val="none" w:sz="0" w:space="2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x5mid-sectionleft-box"/>
                <w:rFonts w:ascii="Open Sans SemiBold" w:eastAsia="Open Sans SemiBold" w:hAnsi="Open Sans SemiBold" w:cs="Open Sans SemiBold"/>
                <w:b/>
                <w:bCs/>
                <w:color w:val="181818"/>
                <w:sz w:val="20"/>
                <w:szCs w:val="20"/>
              </w:rPr>
            </w:pPr>
            <w:r>
              <w:rPr>
                <w:rStyle w:val="skn-mlx5anyCharacter"/>
                <w:b/>
                <w:bCs/>
                <w:color w:val="181818"/>
                <w:sz w:val="20"/>
                <w:szCs w:val="20"/>
              </w:rPr>
              <w:t>Address</w:t>
            </w:r>
          </w:p>
          <w:p>
            <w:pPr>
              <w:pStyle w:val="skn-mlx5cntc-secico-tx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160" w:line="240" w:lineRule="atLeast"/>
              <w:ind w:left="0" w:right="0"/>
              <w:rPr>
                <w:rStyle w:val="skn-mlx5mid-sectionleft-box"/>
                <w:rFonts w:ascii="Open Sans Light" w:eastAsia="Open Sans Light" w:hAnsi="Open Sans Light" w:cs="Open Sans Light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5anyCharacter"/>
                <w:b w:val="0"/>
                <w:bCs w:val="0"/>
                <w:color w:val="181818"/>
                <w:sz w:val="20"/>
                <w:szCs w:val="20"/>
              </w:rPr>
              <w:t>Kolkata</w:t>
            </w:r>
            <w:r>
              <w:rPr>
                <w:rStyle w:val="skn-mlx5anyCharacter"/>
                <w:b w:val="0"/>
                <w:bCs w:val="0"/>
                <w:color w:val="181818"/>
                <w:sz w:val="20"/>
                <w:szCs w:val="20"/>
              </w:rPr>
              <w:t>,</w:t>
            </w:r>
            <w:r>
              <w:rPr>
                <w:rStyle w:val="skn-mlx5mid-sectionleft-box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  <w:r>
              <w:rPr>
                <w:rStyle w:val="skn-mlx5anyCharacter"/>
                <w:b w:val="0"/>
                <w:bCs w:val="0"/>
                <w:color w:val="181818"/>
                <w:sz w:val="20"/>
                <w:szCs w:val="20"/>
              </w:rPr>
              <w:t>West Bengal</w:t>
            </w:r>
            <w:r>
              <w:rPr>
                <w:rStyle w:val="skn-mlx5mid-sectionleft-box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  <w:r>
              <w:rPr>
                <w:rStyle w:val="skn-mlx5anyCharacter"/>
                <w:b w:val="0"/>
                <w:bCs w:val="0"/>
                <w:color w:val="181818"/>
                <w:sz w:val="20"/>
                <w:szCs w:val="20"/>
              </w:rPr>
              <w:t>700091</w:t>
            </w:r>
          </w:p>
          <w:p>
            <w:pPr>
              <w:pStyle w:val="skn-mlx5icon-rowicon-label"/>
              <w:pBdr>
                <w:top w:val="none" w:sz="0" w:space="0" w:color="auto"/>
                <w:left w:val="none" w:sz="0" w:space="0" w:color="auto"/>
                <w:bottom w:val="none" w:sz="0" w:space="2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x5mid-sectionleft-box"/>
                <w:rFonts w:ascii="Open Sans SemiBold" w:eastAsia="Open Sans SemiBold" w:hAnsi="Open Sans SemiBold" w:cs="Open Sans SemiBold"/>
                <w:b/>
                <w:bCs/>
                <w:color w:val="181818"/>
                <w:sz w:val="20"/>
                <w:szCs w:val="20"/>
              </w:rPr>
            </w:pPr>
            <w:r>
              <w:rPr>
                <w:rStyle w:val="skn-mlx5anyCharacter"/>
                <w:b/>
                <w:bCs/>
                <w:color w:val="181818"/>
                <w:sz w:val="20"/>
                <w:szCs w:val="20"/>
              </w:rPr>
              <w:t>DOB</w:t>
            </w:r>
          </w:p>
          <w:p>
            <w:pPr>
              <w:pStyle w:val="skn-mlx5cntc-secico-tx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x5mid-sectionleft-box"/>
                <w:rFonts w:ascii="Open Sans Light" w:eastAsia="Open Sans Light" w:hAnsi="Open Sans Light" w:cs="Open Sans Light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5anyCharacter"/>
                <w:b w:val="0"/>
                <w:bCs w:val="0"/>
                <w:color w:val="181818"/>
                <w:sz w:val="20"/>
                <w:szCs w:val="20"/>
              </w:rPr>
              <w:t>08 October 1988</w:t>
            </w:r>
          </w:p>
          <w:p>
            <w:pPr>
              <w:pStyle w:val="skn-mlx5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p>
            <w:pPr>
              <w:pStyle w:val="skn-mlx5mid-sectiontopborder"/>
              <w:pBdr>
                <w:top w:val="single" w:sz="8" w:space="0" w:color="DDDDDD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drawing>
                <wp:anchor simplePos="0" relativeHeight="251659264" behindDoc="0" locked="0" layoutInCell="1" allowOverlap="1">
                  <wp:simplePos x="0" y="0"/>
                  <wp:positionH relativeFrom="column">
                    <wp:posOffset>2137410</wp:posOffset>
                  </wp:positionH>
                  <wp:positionV relativeFrom="paragraph">
                    <wp:posOffset>-50800</wp:posOffset>
                  </wp:positionV>
                  <wp:extent cx="102094" cy="102158"/>
                  <wp:wrapNone/>
                  <wp:docPr id="100005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5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094" cy="1021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skn-mlx5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240"/>
              <w:ind w:left="0" w:right="0"/>
              <w:rPr>
                <w:rStyle w:val="skn-mlx5mid-sectionleft-box"/>
                <w:rFonts w:ascii="Teko SemiBold" w:eastAsia="Teko SemiBold" w:hAnsi="Teko SemiBold" w:cs="Teko SemiBold"/>
                <w:caps/>
                <w:color w:val="61C1B1"/>
                <w:spacing w:val="6"/>
              </w:rPr>
            </w:pPr>
            <w:r>
              <w:rPr>
                <w:rStyle w:val="skn-mlx5mid-sectionleft-box"/>
                <w:caps/>
              </w:rPr>
              <w:t>Skills</w:t>
            </w:r>
          </w:p>
          <w:p>
            <w:pPr>
              <w:pStyle w:val="skn-mlx5any"/>
              <w:numPr>
                <w:ilvl w:val="0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280" w:right="0" w:hanging="252"/>
              <w:jc w:val="left"/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Preoperative Patient Assessment</w:t>
            </w:r>
          </w:p>
          <w:p>
            <w:pPr>
              <w:pStyle w:val="skn-mlx5any"/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General and Regional Anesthesia</w:t>
            </w:r>
          </w:p>
          <w:p>
            <w:pPr>
              <w:pStyle w:val="skn-mlx5any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Airway Management</w:t>
            </w:r>
          </w:p>
          <w:p>
            <w:pPr>
              <w:pStyle w:val="skn-mlx5any"/>
              <w:numPr>
                <w:ilvl w:val="0"/>
                <w:numId w:val="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Anesthesia Equipment Handling</w:t>
            </w:r>
          </w:p>
          <w:p>
            <w:pPr>
              <w:pStyle w:val="skn-mlx5any"/>
              <w:numPr>
                <w:ilvl w:val="0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Pain Management</w:t>
            </w:r>
          </w:p>
          <w:p>
            <w:pPr>
              <w:pStyle w:val="skn-mlx5any"/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Intraoperative Monitoring</w:t>
            </w:r>
          </w:p>
          <w:p>
            <w:pPr>
              <w:pStyle w:val="skn-mlx5any"/>
              <w:numPr>
                <w:ilvl w:val="0"/>
                <w:numId w:val="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Postoperative Recovery Care</w:t>
            </w:r>
          </w:p>
          <w:p>
            <w:pPr>
              <w:pStyle w:val="skn-mlx5any"/>
              <w:numPr>
                <w:ilvl w:val="0"/>
                <w:numId w:val="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Emergency Response</w:t>
            </w:r>
          </w:p>
          <w:p>
            <w:pPr>
              <w:pStyle w:val="skn-mlx5any"/>
              <w:numPr>
                <w:ilvl w:val="0"/>
                <w:numId w:val="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Medication Administration</w:t>
            </w:r>
          </w:p>
          <w:p>
            <w:pPr>
              <w:pStyle w:val="skn-mlx5any"/>
              <w:numPr>
                <w:ilvl w:val="0"/>
                <w:numId w:val="1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Surgical Team Coordination</w:t>
            </w:r>
          </w:p>
          <w:p>
            <w:pPr>
              <w:pStyle w:val="skn-mlx5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p>
            <w:pPr>
              <w:pStyle w:val="skn-mlx5mid-sectiontopborder"/>
              <w:pBdr>
                <w:top w:val="single" w:sz="8" w:space="0" w:color="DDDDDD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drawing>
                <wp:anchor simplePos="0" relativeHeight="251660288" behindDoc="0" locked="0" layoutInCell="1" allowOverlap="1">
                  <wp:simplePos x="0" y="0"/>
                  <wp:positionH relativeFrom="column">
                    <wp:posOffset>2137410</wp:posOffset>
                  </wp:positionH>
                  <wp:positionV relativeFrom="paragraph">
                    <wp:posOffset>-50800</wp:posOffset>
                  </wp:positionV>
                  <wp:extent cx="102094" cy="102158"/>
                  <wp:wrapNone/>
                  <wp:docPr id="100007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7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094" cy="1021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skn-mlx5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240"/>
              <w:ind w:left="0" w:right="0"/>
              <w:rPr>
                <w:rStyle w:val="skn-mlx5mid-sectionleft-box"/>
                <w:rFonts w:ascii="Teko SemiBold" w:eastAsia="Teko SemiBold" w:hAnsi="Teko SemiBold" w:cs="Teko SemiBold"/>
                <w:caps/>
                <w:color w:val="61C1B1"/>
                <w:spacing w:val="6"/>
              </w:rPr>
            </w:pPr>
            <w:r>
              <w:rPr>
                <w:rStyle w:val="skn-mlx5mid-sectionleft-box"/>
                <w:caps/>
              </w:rPr>
              <w:t>Certifications</w:t>
            </w:r>
          </w:p>
          <w:p>
            <w:pPr>
              <w:pStyle w:val="skn-mlx5any"/>
              <w:numPr>
                <w:ilvl w:val="0"/>
                <w:numId w:val="1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280" w:right="0" w:hanging="252"/>
              <w:jc w:val="left"/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Registered Nurse – West Bengal Nursing Council</w:t>
            </w:r>
          </w:p>
          <w:p>
            <w:pPr>
              <w:pStyle w:val="skn-mlx5any"/>
              <w:numPr>
                <w:ilvl w:val="0"/>
                <w:numId w:val="1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Registered Nurse Anesthetist (India)</w:t>
            </w:r>
          </w:p>
          <w:p>
            <w:pPr>
              <w:pStyle w:val="skn-mlx5any"/>
              <w:numPr>
                <w:ilvl w:val="0"/>
                <w:numId w:val="1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Advanced Cardiac Life Support (ACLS), India</w:t>
            </w:r>
          </w:p>
          <w:p>
            <w:pPr>
              <w:pStyle w:val="skn-mlx5any"/>
              <w:numPr>
                <w:ilvl w:val="0"/>
                <w:numId w:val="1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Basic Airway Management and Anesthesia Safety Certification, India</w:t>
            </w:r>
          </w:p>
          <w:p>
            <w:pPr>
              <w:pStyle w:val="skn-mlx5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p>
            <w:pPr>
              <w:pStyle w:val="skn-mlx5mid-sectiontopborder"/>
              <w:pBdr>
                <w:top w:val="single" w:sz="8" w:space="0" w:color="DDDDDD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5mid-sectionleft-box"/>
                <w:rFonts w:ascii="Open Sans Light" w:eastAsia="Open Sans Light" w:hAnsi="Open Sans Light" w:cs="Open Sans Light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 Light" w:eastAsia="Open Sans Light" w:hAnsi="Open Sans Light" w:cs="Open Sans Light"/>
                <w:b w:val="0"/>
                <w:bCs w:val="0"/>
                <w:color w:val="181818"/>
                <w:sz w:val="20"/>
                <w:szCs w:val="20"/>
              </w:rPr>
              <w:drawing>
                <wp:anchor simplePos="0" relativeHeight="251661312" behindDoc="0" locked="0" layoutInCell="1" allowOverlap="1">
                  <wp:simplePos x="0" y="0"/>
                  <wp:positionH relativeFrom="column">
                    <wp:posOffset>2137410</wp:posOffset>
                  </wp:positionH>
                  <wp:positionV relativeFrom="paragraph">
                    <wp:posOffset>-50800</wp:posOffset>
                  </wp:positionV>
                  <wp:extent cx="102094" cy="102158"/>
                  <wp:wrapNone/>
                  <wp:docPr id="100009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9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094" cy="1021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skn-mlx5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240"/>
              <w:ind w:left="0" w:right="0"/>
              <w:rPr>
                <w:rStyle w:val="skn-mlx5mid-sectionleft-box"/>
                <w:rFonts w:ascii="Teko SemiBold" w:eastAsia="Teko SemiBold" w:hAnsi="Teko SemiBold" w:cs="Teko SemiBold"/>
                <w:b w:val="0"/>
                <w:bCs w:val="0"/>
                <w:caps/>
                <w:color w:val="61C1B1"/>
                <w:spacing w:val="6"/>
              </w:rPr>
            </w:pPr>
            <w:r>
              <w:rPr>
                <w:rStyle w:val="skn-mlx5mid-sectionleft-box"/>
                <w:b w:val="0"/>
                <w:bCs w:val="0"/>
                <w:caps/>
              </w:rPr>
              <w:t>References</w:t>
            </w:r>
          </w:p>
          <w:p>
            <w:pPr>
              <w:pStyle w:val="skn-mlx5left-box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0" w:right="0"/>
              <w:rPr>
                <w:rStyle w:val="skn-mlx5mid-sectionleft-box"/>
                <w:rFonts w:ascii="Open Sans Light" w:eastAsia="Open Sans Light" w:hAnsi="Open Sans Light" w:cs="Open Sans Light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5similar-secsinglecolumnspannth-last-child1"/>
                <w:rFonts w:ascii="Open Sans Light" w:eastAsia="Open Sans Light" w:hAnsi="Open Sans Light" w:cs="Open Sans Light"/>
                <w:b w:val="0"/>
                <w:bCs w:val="0"/>
                <w:color w:val="181818"/>
                <w:sz w:val="20"/>
                <w:szCs w:val="20"/>
              </w:rPr>
              <w:t>References available upon request</w:t>
            </w:r>
          </w:p>
          <w:p>
            <w:pPr>
              <w:pStyle w:val="skn-mlx5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5mid-sectionleft-box"/>
                <w:rFonts w:ascii="Open Sans Light" w:eastAsia="Open Sans Light" w:hAnsi="Open Sans Light" w:cs="Open Sans Light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 Light" w:eastAsia="Open Sans Light" w:hAnsi="Open Sans Light" w:cs="Open Sans Light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</w:tc>
        <w:tc>
          <w:tcPr>
            <w:tcW w:w="250" w:type="dxa"/>
            <w:tcBorders>
              <w:right w:val="single" w:sz="8" w:space="0" w:color="DDDDDD"/>
            </w:tcBorders>
            <w:tcMar>
              <w:top w:w="0" w:type="dxa"/>
              <w:left w:w="0" w:type="dxa"/>
              <w:bottom w:w="480" w:type="dxa"/>
              <w:right w:w="0" w:type="dxa"/>
            </w:tcMar>
            <w:vAlign w:val="top"/>
            <w:hideMark/>
          </w:tcPr>
          <w:p>
            <w:pPr>
              <w:pStyle w:val="skn-mlx5mid-sectionmidleftpaddingcellParagraph"/>
              <w:pBdr>
                <w:right w:val="none" w:sz="0" w:space="0" w:color="auto"/>
              </w:pBdr>
              <w:spacing w:line="240" w:lineRule="atLeast"/>
              <w:ind w:left="0" w:right="0"/>
              <w:rPr>
                <w:rStyle w:val="skn-mlx5mid-sectionmidleftpaddingcell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</w:p>
        </w:tc>
        <w:tc>
          <w:tcPr>
            <w:tcW w:w="240" w:type="dxa"/>
            <w:tcMar>
              <w:top w:w="0" w:type="dxa"/>
              <w:left w:w="0" w:type="dxa"/>
              <w:bottom w:w="480" w:type="dxa"/>
              <w:right w:w="0" w:type="dxa"/>
            </w:tcMar>
            <w:vAlign w:val="top"/>
            <w:hideMark/>
          </w:tcPr>
          <w:p>
            <w:pPr>
              <w:pStyle w:val="skn-mlx5mid-sectionmidleftpaddingcellParagraph"/>
              <w:pBdr>
                <w:right w:val="none" w:sz="0" w:space="0" w:color="auto"/>
              </w:pBdr>
              <w:spacing w:line="240" w:lineRule="atLeast"/>
              <w:ind w:left="0" w:right="0"/>
              <w:rPr>
                <w:rStyle w:val="skn-mlx5mid-sectionmidleftpaddingcell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</w:p>
        </w:tc>
        <w:tc>
          <w:tcPr>
            <w:tcW w:w="7590" w:type="dxa"/>
            <w:tcMar>
              <w:top w:w="0" w:type="dxa"/>
              <w:left w:w="0" w:type="dxa"/>
              <w:bottom w:w="480" w:type="dxa"/>
              <w:right w:w="0" w:type="dxa"/>
            </w:tcMar>
            <w:vAlign w:val="top"/>
            <w:hideMark/>
          </w:tcPr>
          <w:p>
            <w:pPr>
              <w:pStyle w:val="skn-mlx5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240"/>
              <w:ind w:left="0" w:right="0"/>
              <w:rPr>
                <w:rStyle w:val="skn-mlx5mid-sectiondiv"/>
                <w:rFonts w:ascii="Teko SemiBold" w:eastAsia="Teko SemiBold" w:hAnsi="Teko SemiBold" w:cs="Teko SemiBold"/>
                <w:b w:val="0"/>
                <w:bCs w:val="0"/>
                <w:caps/>
                <w:color w:val="61C1B1"/>
                <w:spacing w:val="6"/>
              </w:rPr>
            </w:pPr>
            <w:r>
              <w:rPr>
                <w:rStyle w:val="skn-mlx5mid-sectiondiv"/>
                <w:b w:val="0"/>
                <w:bCs w:val="0"/>
                <w:caps/>
              </w:rPr>
              <w:t>Professional Summary</w:t>
            </w:r>
          </w:p>
          <w:p>
            <w:pPr>
              <w:pStyle w:val="skn-mlx5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x5mid-sectiondiv"/>
                <w:rFonts w:ascii="Open Sans Light" w:eastAsia="Open Sans Light" w:hAnsi="Open Sans Light" w:cs="Open Sans Light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 Light" w:eastAsia="Open Sans Light" w:hAnsi="Open Sans Light" w:cs="Open Sans Light"/>
                <w:b w:val="0"/>
                <w:bCs w:val="0"/>
                <w:color w:val="181818"/>
                <w:sz w:val="20"/>
                <w:szCs w:val="20"/>
              </w:rPr>
              <w:t>Experienced Nurse Anesthetist with expertise in preoperative assessments, anesthesia administration, and intraoperative patient monitoring. Skilled in airway management, pain management, and postoperative recovery care, with a strong focus on patient safety and team collaboration. Ready to contribute advanced clinical skills and knowledge to deliver exceptional care in a dynamic healthcare environment.</w:t>
            </w:r>
          </w:p>
          <w:p>
            <w:pPr>
              <w:pStyle w:val="skn-mlx5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5mid-sectiondiv"/>
                <w:rFonts w:ascii="Open Sans Light" w:eastAsia="Open Sans Light" w:hAnsi="Open Sans Light" w:cs="Open Sans Light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 Light" w:eastAsia="Open Sans Light" w:hAnsi="Open Sans Light" w:cs="Open Sans Light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x5mid-sectiontopborder"/>
              <w:pBdr>
                <w:top w:val="single" w:sz="8" w:space="0" w:color="DDDDDD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  <w:drawing>
                <wp:anchor simplePos="0" relativeHeight="251662336" behindDoc="0" locked="0" layoutInCell="1" allowOverlap="1">
                  <wp:simplePos x="0" y="0"/>
                  <wp:positionH relativeFrom="column">
                    <wp:posOffset>-203200</wp:posOffset>
                  </wp:positionH>
                  <wp:positionV relativeFrom="paragraph">
                    <wp:posOffset>-50800</wp:posOffset>
                  </wp:positionV>
                  <wp:extent cx="102094" cy="102158"/>
                  <wp:wrapNone/>
                  <wp:docPr id="100011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1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094" cy="1021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skn-mlx5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240"/>
              <w:ind w:left="0" w:right="0"/>
              <w:rPr>
                <w:rStyle w:val="skn-mlx5mid-sectiondiv"/>
                <w:rFonts w:ascii="Teko SemiBold" w:eastAsia="Teko SemiBold" w:hAnsi="Teko SemiBold" w:cs="Teko SemiBold"/>
                <w:caps/>
                <w:color w:val="61C1B1"/>
                <w:spacing w:val="6"/>
              </w:rPr>
            </w:pPr>
            <w:r>
              <w:rPr>
                <w:rStyle w:val="skn-mlx5mid-sectiondiv"/>
                <w:caps/>
              </w:rPr>
              <w:t>Experience</w:t>
            </w:r>
          </w:p>
          <w:p>
            <w:pPr>
              <w:pStyle w:val="skn-mlx5right-boxfirstparagraphga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x5mid-sectiondiv"/>
                <w:rFonts w:ascii="Open Sans" w:eastAsia="Open Sans" w:hAnsi="Open Sans" w:cs="Open Sans"/>
                <w:vanish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" w:eastAsia="Open Sans" w:hAnsi="Open Sans" w:cs="Open Sans"/>
                <w:vanish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x5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797"/>
              <w:gridCol w:w="200"/>
              <w:gridCol w:w="2509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79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5txt-bold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x5job-positiondiv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x5job-positiondiv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>Nurse Anesthetist</w:t>
                  </w:r>
                </w:p>
                <w:p>
                  <w:pPr>
                    <w:pStyle w:val="skn-mlx5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Apollo Hospitals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5job-positiondiv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9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5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Apr 2020</w:t>
                  </w:r>
                  <w:r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 xml:space="preserve"> – </w:t>
                  </w:r>
                  <w:r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Present</w:t>
                  </w:r>
                </w:p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Kolkata</w:t>
                  </w:r>
                  <w:r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West Bengal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x5expr-seculli"/>
              <w:numPr>
                <w:ilvl w:val="0"/>
                <w:numId w:val="15"/>
              </w:numPr>
              <w:pBdr>
                <w:top w:val="none" w:sz="0" w:space="0" w:color="auto"/>
                <w:left w:val="none" w:sz="0" w:space="3" w:color="auto"/>
                <w:bottom w:val="none" w:sz="0" w:space="0" w:color="auto"/>
                <w:right w:val="none" w:sz="0" w:space="0" w:color="auto"/>
              </w:pBdr>
              <w:spacing w:before="160" w:after="80" w:line="240" w:lineRule="atLeast"/>
              <w:ind w:left="480" w:right="0" w:hanging="252"/>
              <w:jc w:val="left"/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color w:val="5D5D5D"/>
                <w:sz w:val="20"/>
                <w:szCs w:val="20"/>
              </w:rPr>
            </w:pPr>
            <w:r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sz w:val="20"/>
                <w:szCs w:val="20"/>
              </w:rPr>
              <w:t>Conducted detailed preoperative assessments to determine anesthesia risks and suitability for surgical patients.</w:t>
            </w:r>
          </w:p>
          <w:p>
            <w:pPr>
              <w:pStyle w:val="skn-mlx5expr-seculli"/>
              <w:numPr>
                <w:ilvl w:val="0"/>
                <w:numId w:val="15"/>
              </w:numPr>
              <w:pBdr>
                <w:top w:val="none" w:sz="0" w:space="0" w:color="auto"/>
                <w:left w:val="none" w:sz="0" w:space="3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80" w:right="0" w:hanging="252"/>
              <w:jc w:val="left"/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color w:val="5D5D5D"/>
                <w:sz w:val="20"/>
                <w:szCs w:val="20"/>
              </w:rPr>
            </w:pPr>
            <w:r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sz w:val="20"/>
                <w:szCs w:val="20"/>
              </w:rPr>
              <w:t>Administered general, regional, and local anesthesia under anesthesiologist supervision during complex surgical procedures.</w:t>
            </w:r>
          </w:p>
          <w:p>
            <w:pPr>
              <w:pStyle w:val="skn-mlx5expr-seculli"/>
              <w:numPr>
                <w:ilvl w:val="0"/>
                <w:numId w:val="15"/>
              </w:numPr>
              <w:pBdr>
                <w:top w:val="none" w:sz="0" w:space="0" w:color="auto"/>
                <w:left w:val="none" w:sz="0" w:space="3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80" w:right="0" w:hanging="252"/>
              <w:jc w:val="left"/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color w:val="5D5D5D"/>
                <w:sz w:val="20"/>
                <w:szCs w:val="20"/>
              </w:rPr>
            </w:pPr>
            <w:r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sz w:val="20"/>
                <w:szCs w:val="20"/>
              </w:rPr>
              <w:t>Monitored patient vitals continuously during surgery to ensure stable physiological parameters.</w:t>
            </w:r>
          </w:p>
          <w:p>
            <w:pPr>
              <w:pStyle w:val="skn-mlx5expr-seculli"/>
              <w:numPr>
                <w:ilvl w:val="0"/>
                <w:numId w:val="15"/>
              </w:numPr>
              <w:pBdr>
                <w:top w:val="none" w:sz="0" w:space="0" w:color="auto"/>
                <w:left w:val="none" w:sz="0" w:space="3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80" w:right="0" w:hanging="252"/>
              <w:jc w:val="left"/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color w:val="5D5D5D"/>
                <w:sz w:val="20"/>
                <w:szCs w:val="20"/>
              </w:rPr>
            </w:pPr>
            <w:r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sz w:val="20"/>
                <w:szCs w:val="20"/>
              </w:rPr>
              <w:t>Managed airway equipment including intubation and ventilation systems during operative procedures.</w:t>
            </w:r>
          </w:p>
          <w:p>
            <w:pPr>
              <w:pStyle w:val="skn-mlx5expr-seculli"/>
              <w:numPr>
                <w:ilvl w:val="0"/>
                <w:numId w:val="15"/>
              </w:numPr>
              <w:pBdr>
                <w:top w:val="none" w:sz="0" w:space="0" w:color="auto"/>
                <w:left w:val="none" w:sz="0" w:space="3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80" w:right="0" w:hanging="252"/>
              <w:jc w:val="left"/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color w:val="5D5D5D"/>
                <w:sz w:val="20"/>
                <w:szCs w:val="20"/>
              </w:rPr>
            </w:pPr>
            <w:r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sz w:val="20"/>
                <w:szCs w:val="20"/>
              </w:rPr>
              <w:t>Prepared and calibrated anesthesia machines, monitors, and emergency equipment before each surgery.</w:t>
            </w:r>
          </w:p>
          <w:p>
            <w:pPr>
              <w:pStyle w:val="skn-mlx5expr-seculli"/>
              <w:numPr>
                <w:ilvl w:val="0"/>
                <w:numId w:val="15"/>
              </w:numPr>
              <w:pBdr>
                <w:top w:val="none" w:sz="0" w:space="0" w:color="auto"/>
                <w:left w:val="none" w:sz="0" w:space="3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80" w:right="0" w:hanging="252"/>
              <w:jc w:val="left"/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color w:val="5D5D5D"/>
                <w:sz w:val="20"/>
                <w:szCs w:val="20"/>
              </w:rPr>
            </w:pPr>
            <w:r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sz w:val="20"/>
                <w:szCs w:val="20"/>
              </w:rPr>
              <w:t>Assisted in postoperative pain management and monitored patient recovery in PACU settings.</w:t>
            </w:r>
          </w:p>
          <w:p>
            <w:pPr>
              <w:pStyle w:val="skn-mlx5ullinth-last-child1"/>
              <w:numPr>
                <w:ilvl w:val="0"/>
                <w:numId w:val="15"/>
              </w:numPr>
              <w:pBdr>
                <w:top w:val="none" w:sz="0" w:space="0" w:color="auto"/>
                <w:left w:val="none" w:sz="0" w:space="3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480" w:right="0" w:hanging="252"/>
              <w:jc w:val="left"/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color w:val="5D5D5D"/>
                <w:sz w:val="20"/>
                <w:szCs w:val="20"/>
              </w:rPr>
            </w:pPr>
            <w:r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color w:val="5D5D5D"/>
                <w:sz w:val="20"/>
                <w:szCs w:val="20"/>
              </w:rPr>
              <w:t>Maintained accurate anesthesia records including drug usage, vitals, and recovery observations.</w:t>
            </w:r>
          </w:p>
          <w:p>
            <w:pPr>
              <w:pStyle w:val="skn-mlx5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x5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797"/>
              <w:gridCol w:w="200"/>
              <w:gridCol w:w="2509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79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5txt-bold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x5job-positiondiv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x5job-positiondiv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>Staff Nurse – Anesthesia</w:t>
                  </w:r>
                </w:p>
                <w:p>
                  <w:pPr>
                    <w:pStyle w:val="skn-mlx5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AMRI Hospitals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5job-positiondiv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9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5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Jan 2016</w:t>
                  </w:r>
                  <w:r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 xml:space="preserve"> – </w:t>
                  </w:r>
                  <w:r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Mar 2020</w:t>
                  </w:r>
                </w:p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Kolkata</w:t>
                  </w:r>
                  <w:r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West Bengal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x5expr-seculli"/>
              <w:numPr>
                <w:ilvl w:val="0"/>
                <w:numId w:val="16"/>
              </w:numPr>
              <w:pBdr>
                <w:top w:val="none" w:sz="0" w:space="0" w:color="auto"/>
                <w:left w:val="none" w:sz="0" w:space="3" w:color="auto"/>
                <w:bottom w:val="none" w:sz="0" w:space="0" w:color="auto"/>
                <w:right w:val="none" w:sz="0" w:space="0" w:color="auto"/>
              </w:pBdr>
              <w:spacing w:before="160" w:after="80" w:line="240" w:lineRule="atLeast"/>
              <w:ind w:left="480" w:right="0" w:hanging="252"/>
              <w:jc w:val="left"/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color w:val="5D5D5D"/>
                <w:sz w:val="20"/>
                <w:szCs w:val="20"/>
              </w:rPr>
            </w:pPr>
            <w:r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sz w:val="20"/>
                <w:szCs w:val="20"/>
              </w:rPr>
              <w:t>Assisted anesthesiologists in administering anesthesia for general, orthopedic, and emergency surgeries.</w:t>
            </w:r>
          </w:p>
          <w:p>
            <w:pPr>
              <w:pStyle w:val="skn-mlx5expr-seculli"/>
              <w:numPr>
                <w:ilvl w:val="0"/>
                <w:numId w:val="16"/>
              </w:numPr>
              <w:pBdr>
                <w:top w:val="none" w:sz="0" w:space="0" w:color="auto"/>
                <w:left w:val="none" w:sz="0" w:space="3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80" w:right="0" w:hanging="252"/>
              <w:jc w:val="left"/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color w:val="5D5D5D"/>
                <w:sz w:val="20"/>
                <w:szCs w:val="20"/>
              </w:rPr>
            </w:pPr>
            <w:r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sz w:val="20"/>
                <w:szCs w:val="20"/>
              </w:rPr>
              <w:t>Prepared anesthesia medications and ensured correct dosages according to surgical requirements.</w:t>
            </w:r>
          </w:p>
          <w:p>
            <w:pPr>
              <w:pStyle w:val="skn-mlx5expr-seculli"/>
              <w:numPr>
                <w:ilvl w:val="0"/>
                <w:numId w:val="16"/>
              </w:numPr>
              <w:pBdr>
                <w:top w:val="none" w:sz="0" w:space="0" w:color="auto"/>
                <w:left w:val="none" w:sz="0" w:space="3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80" w:right="0" w:hanging="252"/>
              <w:jc w:val="left"/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color w:val="5D5D5D"/>
                <w:sz w:val="20"/>
                <w:szCs w:val="20"/>
              </w:rPr>
            </w:pPr>
            <w:r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sz w:val="20"/>
                <w:szCs w:val="20"/>
              </w:rPr>
              <w:t>Supported patient positioning and safety measures during induction and emergence phases.</w:t>
            </w:r>
          </w:p>
          <w:p>
            <w:pPr>
              <w:pStyle w:val="skn-mlx5expr-seculli"/>
              <w:numPr>
                <w:ilvl w:val="0"/>
                <w:numId w:val="16"/>
              </w:numPr>
              <w:pBdr>
                <w:top w:val="none" w:sz="0" w:space="0" w:color="auto"/>
                <w:left w:val="none" w:sz="0" w:space="3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80" w:right="0" w:hanging="252"/>
              <w:jc w:val="left"/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color w:val="5D5D5D"/>
                <w:sz w:val="20"/>
                <w:szCs w:val="20"/>
              </w:rPr>
            </w:pPr>
            <w:r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sz w:val="20"/>
                <w:szCs w:val="20"/>
              </w:rPr>
              <w:t>Monitored oxygen levels, blood pressure, and cardiac activity throughout surgical procedures.</w:t>
            </w:r>
          </w:p>
          <w:p>
            <w:pPr>
              <w:pStyle w:val="skn-mlx5expr-seculli"/>
              <w:numPr>
                <w:ilvl w:val="0"/>
                <w:numId w:val="16"/>
              </w:numPr>
              <w:pBdr>
                <w:top w:val="none" w:sz="0" w:space="0" w:color="auto"/>
                <w:left w:val="none" w:sz="0" w:space="3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80" w:right="0" w:hanging="252"/>
              <w:jc w:val="left"/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color w:val="5D5D5D"/>
                <w:sz w:val="20"/>
                <w:szCs w:val="20"/>
              </w:rPr>
            </w:pPr>
            <w:r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sz w:val="20"/>
                <w:szCs w:val="20"/>
              </w:rPr>
              <w:t>Responded promptly to anesthesia-related emergencies and assisted in resuscitation efforts.</w:t>
            </w:r>
          </w:p>
          <w:p>
            <w:pPr>
              <w:pStyle w:val="skn-mlx5expr-seculli"/>
              <w:numPr>
                <w:ilvl w:val="0"/>
                <w:numId w:val="16"/>
              </w:numPr>
              <w:pBdr>
                <w:top w:val="none" w:sz="0" w:space="0" w:color="auto"/>
                <w:left w:val="none" w:sz="0" w:space="3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80" w:right="0" w:hanging="252"/>
              <w:jc w:val="left"/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color w:val="5D5D5D"/>
                <w:sz w:val="20"/>
                <w:szCs w:val="20"/>
              </w:rPr>
            </w:pPr>
            <w:r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sz w:val="20"/>
                <w:szCs w:val="20"/>
              </w:rPr>
              <w:t>Ensured strict infection control while handling anesthesia equipment and invasive devices.</w:t>
            </w:r>
          </w:p>
          <w:p>
            <w:pPr>
              <w:pStyle w:val="skn-mlx5ullinth-last-child1"/>
              <w:numPr>
                <w:ilvl w:val="0"/>
                <w:numId w:val="16"/>
              </w:numPr>
              <w:pBdr>
                <w:top w:val="none" w:sz="0" w:space="0" w:color="auto"/>
                <w:left w:val="none" w:sz="0" w:space="3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480" w:right="0" w:hanging="252"/>
              <w:jc w:val="left"/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color w:val="5D5D5D"/>
                <w:sz w:val="20"/>
                <w:szCs w:val="20"/>
              </w:rPr>
            </w:pPr>
            <w:r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color w:val="5D5D5D"/>
                <w:sz w:val="20"/>
                <w:szCs w:val="20"/>
              </w:rPr>
              <w:t>Coordinated with surgeons and OT staff to ensure smooth surgical workflow.</w:t>
            </w:r>
          </w:p>
          <w:p>
            <w:pPr>
              <w:pStyle w:val="skn-mlx5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p>
            <w:pPr>
              <w:pStyle w:val="skn-mlx5mid-sectiontopborder"/>
              <w:pBdr>
                <w:top w:val="single" w:sz="8" w:space="0" w:color="DDDDDD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  <w:drawing>
                <wp:anchor simplePos="0" relativeHeight="251663360" behindDoc="0" locked="0" layoutInCell="1" allowOverlap="1">
                  <wp:simplePos x="0" y="0"/>
                  <wp:positionH relativeFrom="column">
                    <wp:posOffset>-203200</wp:posOffset>
                  </wp:positionH>
                  <wp:positionV relativeFrom="paragraph">
                    <wp:posOffset>-50800</wp:posOffset>
                  </wp:positionV>
                  <wp:extent cx="102094" cy="102158"/>
                  <wp:wrapNone/>
                  <wp:docPr id="100013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3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094" cy="1021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skn-mlx5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240"/>
              <w:ind w:left="0" w:right="0"/>
              <w:rPr>
                <w:rStyle w:val="skn-mlx5mid-sectiondiv"/>
                <w:rFonts w:ascii="Teko SemiBold" w:eastAsia="Teko SemiBold" w:hAnsi="Teko SemiBold" w:cs="Teko SemiBold"/>
                <w:caps/>
                <w:color w:val="61C1B1"/>
                <w:spacing w:val="6"/>
              </w:rPr>
            </w:pPr>
            <w:r>
              <w:rPr>
                <w:rStyle w:val="skn-mlx5mid-sectiondiv"/>
                <w:caps/>
              </w:rPr>
              <w:t>Education</w:t>
            </w:r>
          </w:p>
          <w:p>
            <w:pPr>
              <w:pStyle w:val="skn-mlx5right-boxfirstparagraphga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x5mid-sectiondiv"/>
                <w:rFonts w:ascii="Open Sans" w:eastAsia="Open Sans" w:hAnsi="Open Sans" w:cs="Open Sans"/>
                <w:vanish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" w:eastAsia="Open Sans" w:hAnsi="Open Sans" w:cs="Open Sans"/>
                <w:vanish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x5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797"/>
              <w:gridCol w:w="200"/>
              <w:gridCol w:w="2509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79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5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x5job-positiondiv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x5anyCharacter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>10th Standard</w:t>
                  </w:r>
                  <w:r>
                    <w:rPr>
                      <w:rStyle w:val="skn-mlx5job-positiondiv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 xml:space="preserve"> </w:t>
                  </w:r>
                </w:p>
                <w:p>
                  <w:pPr>
                    <w:pStyle w:val="skn-mlx5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St. Xavier's School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5job-positiondiv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9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5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Mar 2004</w:t>
                  </w: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  <w:p>
                  <w:pPr>
                    <w:pStyle w:val="skn-mlx5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West Bengal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5job-positiondiv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x5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x5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797"/>
              <w:gridCol w:w="200"/>
              <w:gridCol w:w="2509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79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5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x5job-positiondiv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x5anyCharacter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>12th Standard</w:t>
                  </w:r>
                  <w:r>
                    <w:rPr>
                      <w:rStyle w:val="skn-mlx5job-positiondiv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 xml:space="preserve"> </w:t>
                  </w:r>
                </w:p>
                <w:p>
                  <w:pPr>
                    <w:pStyle w:val="skn-mlx5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St. Xavier's School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5job-positiondiv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9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5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Mar 2006</w:t>
                  </w: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  <w:p>
                  <w:pPr>
                    <w:pStyle w:val="skn-mlx5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West Bengal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5job-positiondiv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x5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x5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797"/>
              <w:gridCol w:w="200"/>
              <w:gridCol w:w="2509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79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5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x5job-positiondiv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x5anyCharacter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>B.Sc Nursing</w:t>
                  </w:r>
                  <w:r>
                    <w:rPr>
                      <w:rStyle w:val="skn-mlx5job-positiondiv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 xml:space="preserve"> </w:t>
                  </w:r>
                </w:p>
                <w:p>
                  <w:pPr>
                    <w:pStyle w:val="skn-mlx5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College of Nursing, Medical College Kolkata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5job-positiondiv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9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5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May 2010</w:t>
                  </w: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  <w:p>
                  <w:pPr>
                    <w:pStyle w:val="skn-mlx5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West Bengal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5job-positiondiv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x5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p>
            <w:pPr>
              <w:pStyle w:val="skn-mlx5mid-sectiontopborder"/>
              <w:pBdr>
                <w:top w:val="single" w:sz="8" w:space="0" w:color="DDDDDD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  <w:drawing>
                <wp:anchor simplePos="0" relativeHeight="251664384" behindDoc="0" locked="0" layoutInCell="1" allowOverlap="1">
                  <wp:simplePos x="0" y="0"/>
                  <wp:positionH relativeFrom="column">
                    <wp:posOffset>-203200</wp:posOffset>
                  </wp:positionH>
                  <wp:positionV relativeFrom="paragraph">
                    <wp:posOffset>-50800</wp:posOffset>
                  </wp:positionV>
                  <wp:extent cx="102094" cy="102158"/>
                  <wp:wrapNone/>
                  <wp:docPr id="100015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5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094" cy="1021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skn-mlx5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240"/>
              <w:ind w:left="0" w:right="0"/>
              <w:rPr>
                <w:rStyle w:val="skn-mlx5mid-sectiondiv"/>
                <w:rFonts w:ascii="Teko SemiBold" w:eastAsia="Teko SemiBold" w:hAnsi="Teko SemiBold" w:cs="Teko SemiBold"/>
                <w:caps/>
                <w:color w:val="61C1B1"/>
                <w:spacing w:val="6"/>
              </w:rPr>
            </w:pPr>
            <w:r>
              <w:rPr>
                <w:rStyle w:val="skn-mlx5mid-sectiondiv"/>
                <w:caps/>
              </w:rPr>
              <w:t>Projects</w:t>
            </w:r>
          </w:p>
          <w:p>
            <w:pPr>
              <w:pStyle w:val="skn-mlx5mid-sectionright-box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  <w:t>Postoperative Pain Control Program: Assisted in standardizing pain protocols improving patient comfort after major surgeries. Anesthesia Safety Checklist Project: Implemented pre-surgery checklist reducing anesthesia-related incidents.</w:t>
            </w:r>
          </w:p>
          <w:p>
            <w:pPr>
              <w:pStyle w:val="skn-mlx5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p>
            <w:pPr>
              <w:pStyle w:val="skn-mlx5mid-sectiontopborder"/>
              <w:pBdr>
                <w:top w:val="single" w:sz="8" w:space="0" w:color="DDDDDD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  <w:drawing>
                <wp:anchor simplePos="0" relativeHeight="251665408" behindDoc="0" locked="0" layoutInCell="1" allowOverlap="1">
                  <wp:simplePos x="0" y="0"/>
                  <wp:positionH relativeFrom="column">
                    <wp:posOffset>-203200</wp:posOffset>
                  </wp:positionH>
                  <wp:positionV relativeFrom="paragraph">
                    <wp:posOffset>-50800</wp:posOffset>
                  </wp:positionV>
                  <wp:extent cx="102094" cy="102158"/>
                  <wp:wrapNone/>
                  <wp:docPr id="100017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7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094" cy="1021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skn-mlx5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240"/>
              <w:ind w:left="0" w:right="0"/>
              <w:rPr>
                <w:rStyle w:val="skn-mlx5mid-sectiondiv"/>
                <w:rFonts w:ascii="Teko SemiBold" w:eastAsia="Teko SemiBold" w:hAnsi="Teko SemiBold" w:cs="Teko SemiBold"/>
                <w:caps/>
                <w:color w:val="61C1B1"/>
                <w:spacing w:val="6"/>
              </w:rPr>
            </w:pPr>
            <w:r>
              <w:rPr>
                <w:rStyle w:val="skn-mlx5mid-sectiondiv"/>
                <w:caps/>
              </w:rPr>
              <w:t>Industry</w:t>
            </w:r>
          </w:p>
          <w:p>
            <w:pPr>
              <w:pStyle w:val="skn-mlx5mid-sectionright-box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  <w:t>Healthcare / Anesthesia &amp; Surgical Services</w:t>
            </w:r>
          </w:p>
          <w:p>
            <w:pPr>
              <w:pStyle w:val="skn-mlx5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p>
            <w:pPr>
              <w:pStyle w:val="skn-mlx5mid-sectiontopborder"/>
              <w:pBdr>
                <w:top w:val="single" w:sz="8" w:space="0" w:color="DDDDDD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  <w:drawing>
                <wp:anchor simplePos="0" relativeHeight="251666432" behindDoc="0" locked="0" layoutInCell="1" allowOverlap="1">
                  <wp:simplePos x="0" y="0"/>
                  <wp:positionH relativeFrom="column">
                    <wp:posOffset>-203200</wp:posOffset>
                  </wp:positionH>
                  <wp:positionV relativeFrom="paragraph">
                    <wp:posOffset>-50800</wp:posOffset>
                  </wp:positionV>
                  <wp:extent cx="102094" cy="102158"/>
                  <wp:wrapNone/>
                  <wp:docPr id="100019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9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094" cy="1021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skn-mlx5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240"/>
              <w:ind w:left="0" w:right="0"/>
              <w:rPr>
                <w:rStyle w:val="skn-mlx5mid-sectiondiv"/>
                <w:rFonts w:ascii="Teko SemiBold" w:eastAsia="Teko SemiBold" w:hAnsi="Teko SemiBold" w:cs="Teko SemiBold"/>
                <w:caps/>
                <w:color w:val="61C1B1"/>
                <w:spacing w:val="6"/>
              </w:rPr>
            </w:pPr>
            <w:r>
              <w:rPr>
                <w:rStyle w:val="skn-mlx5mid-sectiondiv"/>
                <w:caps/>
              </w:rPr>
              <w:t>Accomplishments</w:t>
            </w:r>
          </w:p>
          <w:p>
            <w:pPr>
              <w:pStyle w:val="skn-mlx5ulli"/>
              <w:numPr>
                <w:ilvl w:val="0"/>
                <w:numId w:val="1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60" w:after="80" w:line="240" w:lineRule="atLeast"/>
              <w:ind w:left="280" w:right="0" w:hanging="252"/>
              <w:jc w:val="left"/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  <w:t>Maintained zero anesthesia-related adverse events for two consecutive years at Apollo Hospitals.</w:t>
            </w:r>
          </w:p>
          <w:p>
            <w:pPr>
              <w:pStyle w:val="skn-mlx5ulli"/>
              <w:numPr>
                <w:ilvl w:val="0"/>
                <w:numId w:val="17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280" w:right="0" w:hanging="252"/>
              <w:jc w:val="left"/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  <w:t>Recognized for emergency airway management support during trauma surgeries at AMRI Hospitals.</w:t>
            </w:r>
          </w:p>
          <w:p>
            <w:pPr>
              <w:pStyle w:val="skn-mlx5ullinth-last-child1"/>
              <w:numPr>
                <w:ilvl w:val="0"/>
                <w:numId w:val="17"/>
              </w:numPr>
              <w:pBdr>
                <w:top w:val="none" w:sz="0" w:space="0" w:color="auto"/>
                <w:left w:val="none" w:sz="0" w:space="3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280" w:right="0" w:hanging="252"/>
              <w:jc w:val="left"/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  <w:t>Improved anesthesia documentation accuracy through standardized recording practices at Apollo Hospitals.</w:t>
            </w:r>
          </w:p>
          <w:p>
            <w:pPr>
              <w:pStyle w:val="skn-mlx5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</w:tc>
        <w:tc>
          <w:tcPr>
            <w:tcW w:w="480" w:type="dxa"/>
            <w:tcMar>
              <w:top w:w="0" w:type="dxa"/>
              <w:left w:w="0" w:type="dxa"/>
              <w:bottom w:w="480" w:type="dxa"/>
              <w:right w:w="0" w:type="dxa"/>
            </w:tcMar>
            <w:vAlign w:val="top"/>
            <w:hideMark/>
          </w:tcPr>
          <w:p>
            <w:pPr>
              <w:pStyle w:val="skn-mlx5mid-sectionleftrightpaddingcellParagraph"/>
              <w:spacing w:line="240" w:lineRule="atLeast"/>
              <w:ind w:left="0" w:right="0"/>
              <w:rPr>
                <w:rStyle w:val="skn-mlx5mid-sectionleftrightpaddingcell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</w:p>
        </w:tc>
      </w:tr>
    </w:tbl>
    <w:p>
      <w:pPr>
        <w:pStyle w:val="skn-mlx5divempty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atLeast"/>
        <w:ind w:left="0" w:right="0"/>
        <w:rPr>
          <w:rFonts w:ascii="Open Sans" w:eastAsia="Open Sans" w:hAnsi="Open Sans" w:cs="Open Sans"/>
          <w:vanish/>
          <w:color w:val="181818"/>
          <w:sz w:val="20"/>
          <w:szCs w:val="20"/>
        </w:rPr>
      </w:pPr>
    </w:p>
    <w:sectPr>
      <w:headerReference w:type="default" r:id="rId8"/>
      <w:type w:val="continuous"/>
      <w:pgSz w:w="12240" w:h="15840"/>
      <w:pgMar w:top="400" w:right="0" w:bottom="0" w:left="0" w:header="0" w:foo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charset w:val="00"/>
    <w:family w:val="auto"/>
    <w:pitch w:val="default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29687DFC-BB79-438A-B401-2863E0DCBB85}"/>
    <w:embedBold r:id="rId2" w:fontKey="{BF331FCE-9666-4BA6-9F7E-B7382FBB2982}"/>
  </w:font>
  <w:font w:name="Open Sans Light">
    <w:charset w:val="00"/>
    <w:family w:val="auto"/>
    <w:pitch w:val="default"/>
    <w:sig w:usb0="00000000" w:usb1="00000000" w:usb2="00000000" w:usb3="00000000" w:csb0="00000001" w:csb1="00000000"/>
    <w:embedRegular r:id="rId3" w:fontKey="{9AB6101C-8FBD-439D-91C7-3F586B3E456C}"/>
  </w:font>
  <w:font w:name="Open Sans SemiBold">
    <w:charset w:val="00"/>
    <w:family w:val="auto"/>
    <w:pitch w:val="default"/>
    <w:sig w:usb0="00000000" w:usb1="00000000" w:usb2="00000000" w:usb3="00000000" w:csb0="00000001" w:csb1="00000000"/>
    <w:embedRegular r:id="rId4" w:fontKey="{1B34F9D8-E30B-4121-8CAE-595DD58A8833}"/>
  </w:font>
  <w:font w:name="Symbol">
    <w:charset w:val="00"/>
    <w:family w:val="auto"/>
    <w:pitch w:val="default"/>
  </w:font>
  <w:font w:name="Teko">
    <w:charset w:val="00"/>
    <w:family w:val="auto"/>
    <w:pitch w:val="default"/>
  </w:font>
  <w:font w:name="Teko SemiBold">
    <w:charset w:val="00"/>
    <w:family w:val="auto"/>
    <w:pitch w:val="default"/>
  </w:font>
  <w:font w:name="Times New Roman">
    <w:charset w:val="00"/>
    <w:family w:val="auto"/>
    <w:pitch w:val="default"/>
  </w:font>
  <w:font w:name="Wingdings">
    <w:charset w:val="00"/>
    <w:family w:val="auto"/>
    <w:pitch w:val="default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rPr>
        <w:rStyle w:val="skn-mlx5pict-pcpf-nonetop-sectionleft-box"/>
        <w:rFonts w:ascii="Open Sans" w:eastAsia="Open Sans" w:hAnsi="Open Sans" w:cs="Open Sans"/>
        <w:color w:val="181818"/>
        <w:sz w:val="20"/>
        <w:szCs w:val="20"/>
      </w:rPr>
      <w:drawing>
        <wp:anchor simplePos="0" relativeHeight="251658240" behindDoc="1" locked="0" layoutInCell="1" allowOverlap="1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7760335" cy="5240179"/>
          <wp:wrapNone/>
          <wp:docPr id="100001" name=""/>
          <wp:cNvGraphicFramePr>
            <a:graphicFrameLocks xmlns:a="http://schemas.openxmlformats.org/drawingml/2006/main" noChangeAspect="0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001" name=""/>
                  <pic:cNvPicPr>
                    <a:picLocks noChangeAspect="0"/>
                  </pic:cNvPicPr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760335" cy="524017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FFFFFF"/>
        <w:sz w:val="2"/>
      </w:rPr>
      <w:t>.</w: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rPr>
        <w:rStyle w:val="skn-mlx5pict-pcpf-nonetop-sectionleft-box"/>
        <w:rFonts w:ascii="Open Sans" w:eastAsia="Open Sans" w:hAnsi="Open Sans" w:cs="Open Sans"/>
        <w:color w:val="181818"/>
        <w:sz w:val="20"/>
        <w:szCs w:val="20"/>
      </w:rPr>
      <w:drawing>
        <wp:anchor simplePos="0" relativeHeight="251659264" behindDoc="1" locked="0" layoutInCell="1" allowOverlap="1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7760335" cy="5240179"/>
          <wp:wrapNone/>
          <wp:docPr id="779279968" name=""/>
          <wp:cNvGraphicFramePr>
            <a:graphicFrameLocks xmlns:a="http://schemas.openxmlformats.org/drawingml/2006/main" noChangeAspect="0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79279968" name=""/>
                  <pic:cNvPicPr>
                    <a:picLocks noChangeAspect="0"/>
                  </pic:cNvPicPr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760335" cy="524017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FFFFFF"/>
        <w:sz w:val="2"/>
      </w:rPr>
      <w:t>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0000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0000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0000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0000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0000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0000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0000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0000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0000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0000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0000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0000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0000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3">
    <w:nsid w:val="0000000E"/>
    <w:multiLevelType w:val="hybridMultilevel"/>
    <w:tmpl w:val="000000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0000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4">
    <w:nsid w:val="0000000F"/>
    <w:multiLevelType w:val="hybridMultilevel"/>
    <w:tmpl w:val="0000000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0000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5">
    <w:nsid w:val="00000010"/>
    <w:multiLevelType w:val="hybridMultilevel"/>
    <w:tmpl w:val="0000001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0000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6">
    <w:nsid w:val="00000011"/>
    <w:multiLevelType w:val="hybridMultilevel"/>
    <w:tmpl w:val="0000001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0000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mlx5fontsize">
    <w:name w:val="skn-mlx5_fontsize"/>
    <w:basedOn w:val="Normal"/>
    <w:rPr>
      <w:sz w:val="20"/>
      <w:szCs w:val="20"/>
    </w:rPr>
  </w:style>
  <w:style w:type="character" w:customStyle="1" w:styleId="skn-mlx5top-sectionpaddingCell">
    <w:name w:val="skn-mlx5_top-section_paddingCell"/>
    <w:basedOn w:val="DefaultParagraphFont"/>
  </w:style>
  <w:style w:type="character" w:customStyle="1" w:styleId="skn-mlx5pict-pcpf-nonetop-sectionleft-box">
    <w:name w:val="skn-mlx5_pict-pcpf-none_top-section_left-box"/>
    <w:basedOn w:val="DefaultParagraphFont"/>
  </w:style>
  <w:style w:type="paragraph" w:customStyle="1" w:styleId="skn-mlx5any">
    <w:name w:val="skn-mlx5_any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  <w:style w:type="paragraph" w:customStyle="1" w:styleId="skn-mlx5top-pattern">
    <w:name w:val="skn-mlx5_top-pattern"/>
    <w:basedOn w:val="Normal"/>
  </w:style>
  <w:style w:type="character" w:customStyle="1" w:styleId="skn-mlx5top-patternCharacter">
    <w:name w:val="skn-mlx5_top-pattern Character"/>
    <w:basedOn w:val="DefaultParagraphFont"/>
  </w:style>
  <w:style w:type="character" w:customStyle="1" w:styleId="skn-mlx5anyCharacter">
    <w:name w:val="skn-mlx5_any Character"/>
    <w:basedOn w:val="DefaultParagraphFont"/>
  </w:style>
  <w:style w:type="character" w:customStyle="1" w:styleId="skn-mlx5top-sectionmidPaddingCell">
    <w:name w:val="skn-mlx5_top-section_midPaddingCell"/>
    <w:basedOn w:val="DefaultParagraphFont"/>
  </w:style>
  <w:style w:type="paragraph" w:customStyle="1" w:styleId="skn-mlx5top-sectionmidPaddingCellParagraph">
    <w:name w:val="skn-mlx5_top-section_midPaddingCell Paragraph"/>
    <w:basedOn w:val="Normal"/>
  </w:style>
  <w:style w:type="character" w:customStyle="1" w:styleId="skn-mlx5top-sectionname-box">
    <w:name w:val="skn-mlx5_top-section_name-box"/>
    <w:basedOn w:val="DefaultParagraphFont"/>
  </w:style>
  <w:style w:type="paragraph" w:customStyle="1" w:styleId="skn-mlx5top-sectionsection">
    <w:name w:val="skn-mlx5_top-section_section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  <w:rPr>
      <w:bdr w:val="none" w:sz="0" w:space="0" w:color="auto"/>
    </w:rPr>
  </w:style>
  <w:style w:type="paragraph" w:customStyle="1" w:styleId="skn-mlx5firstparagraph">
    <w:name w:val="skn-mlx5_firstparagraph"/>
    <w:basedOn w:val="Normal"/>
  </w:style>
  <w:style w:type="paragraph" w:customStyle="1" w:styleId="skn-mlx5name">
    <w:name w:val="skn-mlx5_name"/>
    <w:basedOn w:val="Normal"/>
    <w:pPr>
      <w:spacing w:line="900" w:lineRule="atLeast"/>
    </w:pPr>
    <w:rPr>
      <w:rFonts w:ascii="Teko" w:eastAsia="Teko" w:hAnsi="Teko" w:cs="Teko"/>
      <w:caps/>
      <w:color w:val="FFFFFF"/>
      <w:sz w:val="90"/>
      <w:szCs w:val="90"/>
    </w:rPr>
  </w:style>
  <w:style w:type="character" w:customStyle="1" w:styleId="skn-mlx5nameCharacter">
    <w:name w:val="skn-mlx5_name Character"/>
    <w:basedOn w:val="DefaultParagraphFont"/>
    <w:rPr>
      <w:rFonts w:ascii="Teko" w:eastAsia="Teko" w:hAnsi="Teko" w:cs="Teko"/>
      <w:caps/>
      <w:color w:val="FFFFFF"/>
      <w:sz w:val="90"/>
      <w:szCs w:val="90"/>
    </w:rPr>
  </w:style>
  <w:style w:type="paragraph" w:customStyle="1" w:styleId="skn-mlx5txt-bold">
    <w:name w:val="skn-mlx5_txt-bold"/>
    <w:basedOn w:val="Normal"/>
    <w:rPr>
      <w:b/>
      <w:bCs/>
    </w:rPr>
  </w:style>
  <w:style w:type="table" w:customStyle="1" w:styleId="skn-mlx5top-section">
    <w:name w:val="skn-mlx5_top-section"/>
    <w:basedOn w:val="TableNormal"/>
    <w:tblPr/>
  </w:style>
  <w:style w:type="character" w:customStyle="1" w:styleId="skn-mlx5mid-sectionleftrightpaddingcell">
    <w:name w:val="skn-mlx5_mid-section_leftrightpaddingcell"/>
    <w:basedOn w:val="DefaultParagraphFont"/>
  </w:style>
  <w:style w:type="paragraph" w:customStyle="1" w:styleId="skn-mlx5mid-sectionleftrightpaddingcellParagraph">
    <w:name w:val="skn-mlx5_mid-section_leftrightpaddingcell Paragraph"/>
    <w:basedOn w:val="Normal"/>
  </w:style>
  <w:style w:type="character" w:customStyle="1" w:styleId="skn-mlx5mid-sectionleft-box">
    <w:name w:val="skn-mlx5_mid-section_left-box"/>
    <w:basedOn w:val="DefaultParagraphFont"/>
  </w:style>
  <w:style w:type="paragraph" w:customStyle="1" w:styleId="skn-mlx5mid-sectionleft-boxsectionnth-child1">
    <w:name w:val="skn-mlx5_mid-section_left-box_section_nth-child(1)"/>
    <w:basedOn w:val="Normal"/>
    <w:pPr>
      <w:pBdr>
        <w:top w:val="none" w:sz="0" w:space="0" w:color="auto"/>
      </w:pBdr>
    </w:pPr>
  </w:style>
  <w:style w:type="paragraph" w:customStyle="1" w:styleId="skn-mlx5mid-sectionleft-boxsectionnth-child1topborder">
    <w:name w:val="skn-mlx5_mid-section_left-box_section_nth-child(1)_topborder"/>
    <w:basedOn w:val="Normal"/>
    <w:rPr>
      <w:vanish/>
    </w:rPr>
  </w:style>
  <w:style w:type="paragraph" w:customStyle="1" w:styleId="skn-mlx5heading">
    <w:name w:val="skn-mlx5_heading"/>
    <w:basedOn w:val="Normal"/>
  </w:style>
  <w:style w:type="paragraph" w:customStyle="1" w:styleId="skn-mlx5sectiontitle">
    <w:name w:val="skn-mlx5_sectiontitle"/>
    <w:basedOn w:val="Normal"/>
    <w:pPr>
      <w:spacing w:line="280" w:lineRule="atLeast"/>
    </w:pPr>
    <w:rPr>
      <w:rFonts w:ascii="Teko SemiBold" w:eastAsia="Teko SemiBold" w:hAnsi="Teko SemiBold" w:cs="Teko SemiBold"/>
      <w:caps/>
      <w:color w:val="61C1B1"/>
      <w:spacing w:val="6"/>
      <w:sz w:val="24"/>
      <w:szCs w:val="24"/>
    </w:rPr>
  </w:style>
  <w:style w:type="paragraph" w:customStyle="1" w:styleId="skn-mlx5icon-row">
    <w:name w:val="skn-mlx5_icon-row"/>
    <w:basedOn w:val="Normal"/>
  </w:style>
  <w:style w:type="paragraph" w:customStyle="1" w:styleId="skn-mlx5icon-rowicon-label">
    <w:name w:val="skn-mlx5_icon-row_icon-label"/>
    <w:basedOn w:val="Normal"/>
    <w:pPr>
      <w:pBdr>
        <w:bottom w:val="none" w:sz="0" w:space="2" w:color="auto"/>
      </w:pBdr>
    </w:pPr>
    <w:rPr>
      <w:rFonts w:ascii="Open Sans SemiBold" w:eastAsia="Open Sans SemiBold" w:hAnsi="Open Sans SemiBold" w:cs="Open Sans SemiBold"/>
      <w:b/>
      <w:bCs/>
    </w:rPr>
  </w:style>
  <w:style w:type="paragraph" w:customStyle="1" w:styleId="skn-mlx5cntc-secico-txt">
    <w:name w:val="skn-mlx5_cntc-sec_ico-txt"/>
    <w:basedOn w:val="Normal"/>
    <w:rPr>
      <w:rFonts w:ascii="Open Sans Light" w:eastAsia="Open Sans Light" w:hAnsi="Open Sans Light" w:cs="Open Sans Light"/>
      <w:b w:val="0"/>
      <w:bCs w:val="0"/>
    </w:rPr>
  </w:style>
  <w:style w:type="character" w:customStyle="1" w:styleId="skn-mlx5spanempty">
    <w:name w:val="skn-mlx5_span_empty"/>
    <w:basedOn w:val="DefaultParagraphFont"/>
    <w:rPr>
      <w:vanish/>
    </w:rPr>
  </w:style>
  <w:style w:type="paragraph" w:customStyle="1" w:styleId="skn-mlx5icon-rownth-last-child1">
    <w:name w:val="skn-mlx5_icon-row_nth-last-child(1)"/>
    <w:basedOn w:val="Normal"/>
  </w:style>
  <w:style w:type="paragraph" w:customStyle="1" w:styleId="skn-mlx5left-boxsimilar-sec">
    <w:name w:val="skn-mlx5_left-box_similar-sec"/>
    <w:basedOn w:val="Normal"/>
  </w:style>
  <w:style w:type="paragraph" w:customStyle="1" w:styleId="skn-mlx5mid-sectiontopborder">
    <w:name w:val="skn-mlx5_mid-section_topborder"/>
    <w:basedOn w:val="Normal"/>
    <w:pPr>
      <w:pBdr>
        <w:top w:val="single" w:sz="8" w:space="0" w:color="DDDDDD"/>
      </w:pBdr>
    </w:pPr>
  </w:style>
  <w:style w:type="character" w:customStyle="1" w:styleId="skn-mlx5mid-sectiontopborderCharacter">
    <w:name w:val="skn-mlx5_mid-section_topborder Character"/>
    <w:basedOn w:val="DefaultParagraphFont"/>
  </w:style>
  <w:style w:type="paragraph" w:customStyle="1" w:styleId="skn-mlx5similar-secheading">
    <w:name w:val="skn-mlx5_similar-sec_heading"/>
    <w:basedOn w:val="Normal"/>
  </w:style>
  <w:style w:type="paragraph" w:customStyle="1" w:styleId="skn-mlx5left-boxsimilar-seclnggparatable">
    <w:name w:val="skn-mlx5_left-box_similar-sec_lnggparatable"/>
    <w:basedOn w:val="Normal"/>
  </w:style>
  <w:style w:type="paragraph" w:customStyle="1" w:styleId="skn-mlx5similar-secparagraph">
    <w:name w:val="skn-mlx5_similar-sec_paragraph"/>
    <w:basedOn w:val="Normal"/>
  </w:style>
  <w:style w:type="paragraph" w:customStyle="1" w:styleId="skn-mlx5ullinth-last-child1">
    <w:name w:val="skn-mlx5_ul_li_nth-last-child(1)"/>
    <w:basedOn w:val="Normal"/>
  </w:style>
  <w:style w:type="paragraph" w:customStyle="1" w:styleId="skn-mlx5similar-secparagraphnth-last-child2">
    <w:name w:val="skn-mlx5_similar-sec_paragraph_nth-last-child(2)"/>
    <w:basedOn w:val="Normal"/>
  </w:style>
  <w:style w:type="paragraph" w:customStyle="1" w:styleId="skn-mlx5similar-secparagraphnth-last-child1">
    <w:name w:val="skn-mlx5_similar-sec_paragraph_nth-last-child(1)"/>
    <w:basedOn w:val="Normal"/>
  </w:style>
  <w:style w:type="paragraph" w:customStyle="1" w:styleId="skn-mlx5mid-sectionsectionnth-last-child1">
    <w:name w:val="skn-mlx5_mid-section_section_nth-last-child(1)"/>
    <w:basedOn w:val="Normal"/>
  </w:style>
  <w:style w:type="paragraph" w:customStyle="1" w:styleId="skn-mlx5left-boxsinglecolumn">
    <w:name w:val="skn-mlx5_left-box_singlecolumn"/>
    <w:basedOn w:val="Normal"/>
  </w:style>
  <w:style w:type="character" w:customStyle="1" w:styleId="skn-mlx5similar-secsinglecolumnspannth-last-child1">
    <w:name w:val="skn-mlx5_similar-sec_singlecolumn_span_nth-last-child(1)"/>
    <w:basedOn w:val="DefaultParagraphFont"/>
  </w:style>
  <w:style w:type="character" w:customStyle="1" w:styleId="skn-mlx5mid-sectionmidleftpaddingcell">
    <w:name w:val="skn-mlx5_mid-section_midleftpaddingcell"/>
    <w:basedOn w:val="DefaultParagraphFont"/>
  </w:style>
  <w:style w:type="paragraph" w:customStyle="1" w:styleId="skn-mlx5mid-sectionmidleftpaddingcellParagraph">
    <w:name w:val="skn-mlx5_mid-section_midleftpaddingcell Paragraph"/>
    <w:basedOn w:val="Normal"/>
    <w:pPr>
      <w:pBdr>
        <w:right w:val="single" w:sz="8" w:space="0" w:color="DDDDDD"/>
      </w:pBdr>
    </w:pPr>
  </w:style>
  <w:style w:type="character" w:customStyle="1" w:styleId="skn-mlx5mid-sectionmidrightpaddingcell">
    <w:name w:val="skn-mlx5_mid-section_midrightpaddingcell"/>
    <w:basedOn w:val="DefaultParagraphFont"/>
  </w:style>
  <w:style w:type="character" w:customStyle="1" w:styleId="skn-mlx5mid-sectiondiv">
    <w:name w:val="skn-mlx5_mid-section &gt; div"/>
    <w:basedOn w:val="DefaultParagraphFont"/>
  </w:style>
  <w:style w:type="paragraph" w:customStyle="1" w:styleId="skn-mlx5mid-sectionright-boxsectionnth-child1">
    <w:name w:val="skn-mlx5_mid-section_right-box_section_nth-child(1)"/>
    <w:basedOn w:val="Normal"/>
    <w:pPr>
      <w:pBdr>
        <w:top w:val="none" w:sz="0" w:space="0" w:color="auto"/>
      </w:pBdr>
    </w:pPr>
  </w:style>
  <w:style w:type="paragraph" w:customStyle="1" w:styleId="skn-mlx5mid-sectionright-boxsectionnth-child1topborder">
    <w:name w:val="skn-mlx5_mid-section_right-box_section_nth-child(1)_topborder"/>
    <w:basedOn w:val="Normal"/>
    <w:rPr>
      <w:vanish/>
    </w:rPr>
  </w:style>
  <w:style w:type="paragraph" w:customStyle="1" w:styleId="skn-mlx5mid-sectionright-boxsinglecolumn">
    <w:name w:val="skn-mlx5_mid-section_right-box_singlecolumn"/>
    <w:basedOn w:val="Normal"/>
  </w:style>
  <w:style w:type="paragraph" w:customStyle="1" w:styleId="skn-mlx5mid-sectionexpr-sec">
    <w:name w:val="skn-mlx5_mid-section_expr-sec"/>
    <w:basedOn w:val="Normal"/>
  </w:style>
  <w:style w:type="paragraph" w:customStyle="1" w:styleId="skn-mlx5expr-secparagraph">
    <w:name w:val="skn-mlx5_expr-sec_paragraph"/>
    <w:basedOn w:val="Normal"/>
  </w:style>
  <w:style w:type="paragraph" w:customStyle="1" w:styleId="skn-mlx5right-boxfirstparagraphgapDiv">
    <w:name w:val="skn-mlx5_right-box_firstparagraph_gapDiv"/>
    <w:basedOn w:val="Normal"/>
    <w:rPr>
      <w:vanish/>
    </w:rPr>
  </w:style>
  <w:style w:type="character" w:customStyle="1" w:styleId="skn-mlx5job-positiondiv">
    <w:name w:val="skn-mlx5_job-position &gt; div"/>
    <w:basedOn w:val="DefaultParagraphFont"/>
  </w:style>
  <w:style w:type="paragraph" w:customStyle="1" w:styleId="skn-mlx5disp-block">
    <w:name w:val="skn-mlx5_disp-block"/>
    <w:basedOn w:val="Normal"/>
  </w:style>
  <w:style w:type="paragraph" w:customStyle="1" w:styleId="skn-mlx5job-positiondivParagraph">
    <w:name w:val="skn-mlx5_job-position &gt; div Paragraph"/>
    <w:basedOn w:val="Normal"/>
    <w:pPr>
      <w:textAlignment w:val="top"/>
    </w:pPr>
  </w:style>
  <w:style w:type="table" w:customStyle="1" w:styleId="skn-mlx5job-position">
    <w:name w:val="skn-mlx5_job-position"/>
    <w:basedOn w:val="TableNormal"/>
    <w:tblPr/>
  </w:style>
  <w:style w:type="character" w:customStyle="1" w:styleId="skn-mlx5opacity90">
    <w:name w:val="skn-mlx5_opacity90"/>
    <w:basedOn w:val="DefaultParagraphFont"/>
  </w:style>
  <w:style w:type="paragraph" w:customStyle="1" w:styleId="skn-mlx5expr-seculli">
    <w:name w:val="skn-mlx5_expr-sec_ul_li"/>
    <w:basedOn w:val="Normal"/>
    <w:rPr>
      <w:color w:val="5D5D5D"/>
    </w:rPr>
  </w:style>
  <w:style w:type="paragraph" w:customStyle="1" w:styleId="skn-mlx5mid-sectioneducation">
    <w:name w:val="skn-mlx5_mid-section_education"/>
    <w:basedOn w:val="Normal"/>
  </w:style>
  <w:style w:type="paragraph" w:customStyle="1" w:styleId="skn-mlx5educationdivparagraph">
    <w:name w:val="skn-mlx5_education_div_paragraph"/>
    <w:basedOn w:val="Normal"/>
  </w:style>
  <w:style w:type="paragraph" w:customStyle="1" w:styleId="skn-mlx5ulli">
    <w:name w:val="skn-mlx5_ul_li"/>
    <w:basedOn w:val="Normal"/>
    <w:pPr>
      <w:pBdr>
        <w:left w:val="none" w:sz="0" w:space="3" w:color="auto"/>
      </w:pBdr>
    </w:pPr>
  </w:style>
  <w:style w:type="table" w:customStyle="1" w:styleId="skn-mlx5mid-section">
    <w:name w:val="skn-mlx5_mid-section"/>
    <w:basedOn w:val="TableNormal"/>
    <w:tblPr/>
  </w:style>
  <w:style w:type="paragraph" w:customStyle="1" w:styleId="skn-mlx5divempty">
    <w:name w:val="skn-mlx5_div_empty"/>
    <w:basedOn w:val="Normal"/>
    <w:rPr>
      <w:vanish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eader" Target="header1.xml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header" Target="header2.xml" /><Relationship Id="rId9" Type="http://schemas.openxmlformats.org/officeDocument/2006/relationships/theme" Target="theme/theme1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Arjun Malhotra</dc:title>
  <cp:revision>0</cp:revision>
</cp:coreProperties>
</file>