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2nameLogo"/>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Bebas Neue" w:eastAsia="Bebas Neue" w:hAnsi="Bebas Neue" w:cs="Bebas Neue"/>
          <w:b w:val="0"/>
          <w:bCs w:val="0"/>
          <w:color w:val="4A4A4A"/>
          <w:sz w:val="20"/>
          <w:szCs w:val="20"/>
          <w:bdr w:val="none" w:sz="0" w:space="0" w:color="auto"/>
          <w:vertAlign w:val="baseline"/>
        </w:rPr>
      </w:pPr>
      <w:r>
        <w:rPr>
          <w:rFonts w:ascii="Bebas Neue" w:eastAsia="Bebas Neue" w:hAnsi="Bebas Neue" w:cs="Bebas Neue"/>
          <w:b w:val="0"/>
          <w:bCs w:val="0"/>
          <w:color w:val="4A4A4A"/>
          <w:sz w:val="20"/>
          <w:szCs w:val="20"/>
          <w:bdr w:val="none" w:sz="0" w:space="0" w:color="auto"/>
          <w:vertAlign w:val="baseline"/>
        </w:rPr>
        <w:drawing>
          <wp:inline>
            <wp:extent cx="622154" cy="62250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622154" cy="622505"/>
                    </a:xfrm>
                    <a:prstGeom prst="rect">
                      <a:avLst/>
                    </a:prstGeom>
                  </pic:spPr>
                </pic:pic>
              </a:graphicData>
            </a:graphic>
          </wp:inline>
        </w:drawing>
      </w:r>
    </w:p>
    <w:p>
      <w:pPr>
        <w:pStyle w:val="skn-sla2name"/>
        <w:pBdr>
          <w:top w:val="none" w:sz="0" w:space="0" w:color="auto"/>
          <w:left w:val="none" w:sz="0" w:space="0" w:color="auto"/>
          <w:bottom w:val="none" w:sz="0" w:space="0" w:color="auto"/>
          <w:right w:val="none" w:sz="0" w:space="0" w:color="auto"/>
        </w:pBdr>
        <w:shd w:val="clear" w:color="auto" w:fill="FFFFFF"/>
        <w:spacing w:before="0" w:after="0"/>
        <w:ind w:left="0" w:right="0"/>
        <w:rPr>
          <w:rFonts w:ascii="Bebas Neue" w:eastAsia="Bebas Neue" w:hAnsi="Bebas Neue" w:cs="Bebas Neue"/>
          <w:b w:val="0"/>
          <w:bCs w:val="0"/>
          <w:caps/>
          <w:color w:val="4A4A4A"/>
          <w:sz w:val="52"/>
          <w:szCs w:val="52"/>
          <w:bdr w:val="none" w:sz="0" w:space="0" w:color="auto"/>
          <w:vertAlign w:val="baseline"/>
        </w:rPr>
      </w:pPr>
      <w:r>
        <w:rPr>
          <w:rStyle w:val="span"/>
          <w:rFonts w:ascii="Bebas Neue" w:eastAsia="Bebas Neue" w:hAnsi="Bebas Neue" w:cs="Bebas Neue"/>
          <w:b w:val="0"/>
          <w:bCs w:val="0"/>
          <w:caps/>
        </w:rPr>
        <w:t>Aniket</w:t>
      </w:r>
      <w:r>
        <w:rPr>
          <w:rFonts w:ascii="Bebas Neue" w:eastAsia="Bebas Neue" w:hAnsi="Bebas Neue" w:cs="Bebas Neue"/>
          <w:b w:val="0"/>
          <w:bCs w:val="0"/>
          <w:bdr w:val="none" w:sz="0" w:space="0" w:color="auto"/>
          <w:vertAlign w:val="baseline"/>
        </w:rPr>
        <w:t xml:space="preserve"> </w:t>
      </w:r>
      <w:r>
        <w:rPr>
          <w:rStyle w:val="span"/>
          <w:rFonts w:ascii="Bebas Neue" w:eastAsia="Bebas Neue" w:hAnsi="Bebas Neue" w:cs="Bebas Neue"/>
          <w:b w:val="0"/>
          <w:bCs w:val="0"/>
          <w:caps/>
        </w:rPr>
        <w:t>Deshpande</w:t>
      </w:r>
    </w:p>
    <w:p>
      <w:pPr>
        <w:pStyle w:val="skn-sla2resume-title"/>
        <w:pBdr>
          <w:top w:val="none" w:sz="0" w:space="0" w:color="auto"/>
          <w:left w:val="none" w:sz="0" w:space="0" w:color="auto"/>
          <w:bottom w:val="none" w:sz="0" w:space="4" w:color="auto"/>
          <w:right w:val="none" w:sz="0" w:space="0" w:color="auto"/>
        </w:pBdr>
        <w:shd w:val="clear" w:color="auto" w:fill="FFFFFF"/>
        <w:spacing w:before="0" w:after="0"/>
        <w:ind w:left="0" w:right="0"/>
        <w:rPr>
          <w:rFonts w:ascii="Open Sans" w:eastAsia="Open Sans" w:hAnsi="Open Sans" w:cs="Open Sans"/>
          <w:b w:val="0"/>
          <w:bCs w:val="0"/>
          <w:color w:val="4A4A4A"/>
          <w:sz w:val="28"/>
          <w:szCs w:val="28"/>
          <w:bdr w:val="none" w:sz="0" w:space="0" w:color="auto"/>
          <w:vertAlign w:val="baseline"/>
        </w:rPr>
      </w:pPr>
      <w:r>
        <w:rPr>
          <w:rStyle w:val="span"/>
          <w:b w:val="0"/>
          <w:bCs w:val="0"/>
          <w:color w:val="4A4A4A"/>
        </w:rPr>
        <w:t>MSc Digital Forensics fresher</w:t>
      </w:r>
    </w:p>
    <w:p>
      <w:pPr>
        <w:pStyle w:val="skn-sla2address"/>
        <w:pBdr>
          <w:top w:val="none" w:sz="0" w:space="0" w:color="auto"/>
          <w:left w:val="none" w:sz="0" w:space="0" w:color="auto"/>
          <w:bottom w:val="none" w:sz="0" w:space="0" w:color="auto"/>
          <w:right w:val="none" w:sz="0" w:space="0" w:color="auto"/>
        </w:pBdr>
        <w:shd w:val="clear" w:color="auto" w:fill="FFFFFF"/>
        <w:spacing w:before="80"/>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rPr>
        <w:t>+91 98765 43210</w:t>
      </w:r>
      <w:r>
        <w:rPr>
          <w:rFonts w:ascii="Open Sans" w:eastAsia="Open Sans" w:hAnsi="Open Sans" w:cs="Open Sans"/>
          <w:color w:val="4A4A4A"/>
          <w:bdr w:val="none" w:sz="0" w:space="0" w:color="auto"/>
          <w:vertAlign w:val="baseline"/>
        </w:rPr>
        <w:t xml:space="preserve"> </w:t>
      </w:r>
      <w:r>
        <w:rPr>
          <w:rStyle w:val="skn-sla2sprtr"/>
          <w:rFonts w:ascii="Open Sans" w:eastAsia="Open Sans" w:hAnsi="Open Sans" w:cs="Open Sans"/>
          <w:color w:val="4A4A4A"/>
        </w:rPr>
        <w:t> |</w:t>
      </w:r>
      <w:r>
        <w:rPr>
          <w:rStyle w:val="span"/>
          <w:rFonts w:ascii="Open Sans" w:eastAsia="Open Sans" w:hAnsi="Open Sans" w:cs="Open Sans"/>
          <w:color w:val="4A4A4A"/>
        </w:rPr>
        <w:t xml:space="preserve"> </w:t>
      </w:r>
      <w:r>
        <w:rPr>
          <w:rStyle w:val="skn-sla2sprtrsprtr"/>
          <w:rFonts w:ascii="Open Sans" w:eastAsia="Open Sans" w:hAnsi="Open Sans" w:cs="Open Sans"/>
          <w:vanish/>
          <w:color w:val="4A4A4A"/>
        </w:rPr>
        <w:t> |</w:t>
      </w:r>
      <w:r>
        <w:rPr>
          <w:rStyle w:val="span"/>
          <w:rFonts w:ascii="Open Sans" w:eastAsia="Open Sans" w:hAnsi="Open Sans" w:cs="Open Sans"/>
          <w:color w:val="4A4A4A"/>
        </w:rPr>
        <w:t xml:space="preserve"> </w:t>
      </w:r>
      <w:r>
        <w:rPr>
          <w:rStyle w:val="span"/>
          <w:rFonts w:ascii="Open Sans" w:eastAsia="Open Sans" w:hAnsi="Open Sans" w:cs="Open Sans"/>
          <w:color w:val="4A4A4A"/>
        </w:rPr>
        <w:t>aniket.deshpande@example.com</w:t>
      </w:r>
      <w:r>
        <w:rPr>
          <w:rStyle w:val="skn-sla2sprtr"/>
          <w:rFonts w:ascii="Open Sans" w:eastAsia="Open Sans" w:hAnsi="Open Sans" w:cs="Open Sans"/>
          <w:color w:val="4A4A4A"/>
        </w:rPr>
        <w:t>  | </w:t>
      </w:r>
      <w:r>
        <w:rPr>
          <w:rFonts w:ascii="Open Sans" w:eastAsia="Open Sans" w:hAnsi="Open Sans" w:cs="Open Sans"/>
          <w:color w:val="4A4A4A"/>
          <w:bdr w:val="none" w:sz="0" w:space="0" w:color="auto"/>
          <w:vertAlign w:val="baseline"/>
        </w:rPr>
        <w:t xml:space="preserve"> </w:t>
      </w:r>
      <w:r>
        <w:rPr>
          <w:rStyle w:val="span"/>
          <w:rFonts w:ascii="Open Sans" w:eastAsia="Open Sans" w:hAnsi="Open Sans" w:cs="Open Sans"/>
          <w:color w:val="4A4A4A"/>
        </w:rPr>
        <w:t>Pune</w:t>
      </w:r>
      <w:r>
        <w:rPr>
          <w:rStyle w:val="span"/>
          <w:rFonts w:ascii="Open Sans" w:eastAsia="Open Sans" w:hAnsi="Open Sans" w:cs="Open Sans"/>
          <w:color w:val="4A4A4A"/>
        </w:rPr>
        <w:t xml:space="preserve">, </w:t>
      </w:r>
      <w:r>
        <w:rPr>
          <w:rStyle w:val="span"/>
          <w:rFonts w:ascii="Open Sans" w:eastAsia="Open Sans" w:hAnsi="Open Sans" w:cs="Open Sans"/>
          <w:color w:val="4A4A4A"/>
        </w:rPr>
        <w:t>Maharashtra</w:t>
      </w:r>
      <w:r>
        <w:rPr>
          <w:rStyle w:val="span"/>
          <w:rFonts w:ascii="Open Sans" w:eastAsia="Open Sans" w:hAnsi="Open Sans" w:cs="Open Sans"/>
          <w:color w:val="4A4A4A"/>
        </w:rPr>
        <w:t xml:space="preserve"> </w:t>
      </w:r>
      <w:r>
        <w:rPr>
          <w:rStyle w:val="span"/>
          <w:rFonts w:ascii="Open Sans" w:eastAsia="Open Sans" w:hAnsi="Open Sans" w:cs="Open Sans"/>
          <w:color w:val="4A4A4A"/>
        </w:rPr>
        <w:t>411057</w:t>
      </w:r>
      <w:r>
        <w:rPr>
          <w:rFonts w:ascii="Open Sans" w:eastAsia="Open Sans" w:hAnsi="Open Sans" w:cs="Open Sans"/>
          <w:color w:val="4A4A4A"/>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jc w:val="center"/>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b/>
          <w:bCs/>
          <w:color w:val="4A4A4A"/>
          <w:sz w:val="20"/>
          <w:szCs w:val="20"/>
        </w:rPr>
        <w:t>Date</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of</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Birth</w:t>
      </w:r>
      <w:r>
        <w:rPr>
          <w:rStyle w:val="span"/>
          <w:rFonts w:ascii="Open Sans" w:eastAsia="Open Sans" w:hAnsi="Open Sans" w:cs="Open Sans"/>
          <w:b/>
          <w:bCs/>
          <w:color w:val="4A4A4A"/>
          <w:sz w:val="20"/>
          <w:szCs w:val="20"/>
        </w:rPr>
        <w:t>:</w:t>
      </w:r>
      <w:r>
        <w:rPr>
          <w:rStyle w:val="span"/>
          <w:rFonts w:ascii="Open Sans" w:eastAsia="Open Sans" w:hAnsi="Open Sans" w:cs="Open Sans"/>
          <w:b/>
          <w:bCs/>
          <w:color w:val="4A4A4A"/>
          <w:sz w:val="20"/>
          <w:szCs w:val="20"/>
        </w:rPr>
        <w:t> </w:t>
      </w:r>
      <w:r>
        <w:rPr>
          <w:rStyle w:val="span"/>
          <w:rFonts w:ascii="Open Sans" w:eastAsia="Open Sans" w:hAnsi="Open Sans" w:cs="Open Sans"/>
          <w:color w:val="4A4A4A"/>
          <w:sz w:val="20"/>
          <w:szCs w:val="20"/>
        </w:rPr>
        <w:t>18</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August</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1998</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 xml:space="preserve"> </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915"/>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Professional Summary</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5" style="position:absolute;z-index:-25165824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Dynamic digital forensics specialist with hands-on experience at Cyber Crime Investigation Cell, adept in analyzing digital evidence and supporting cybercrime investigations. Proven skills in network forensics and incident documentation, complemented by strong analytical reasoning. Successfully collaborated on high-profile cases, enhancing forensic procedures. Recognized for maintaining evidence integrity and improving investigative techniques.</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63"/>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Experience</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6" style="position:absolute;z-index:-25165721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Cyber Crime Investigation Cell</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Pune</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Digital Forensics Intern</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01/2022</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06/2023</w:t>
            </w:r>
          </w:p>
        </w:tc>
        <w:tc>
          <w:tcPr>
            <w:tcW w:w="7480" w:type="dxa"/>
            <w:tcMar>
              <w:top w:w="0" w:type="dxa"/>
              <w:left w:w="0" w:type="dxa"/>
              <w:bottom w:w="0" w:type="dxa"/>
              <w:right w:w="0" w:type="dxa"/>
            </w:tcMar>
            <w:vAlign w:val="top"/>
            <w:hideMark/>
          </w:tcPr>
          <w:p>
            <w:pPr>
              <w:pStyle w:val="skn-sla2parlrColmnsinglecolumnulli"/>
              <w:numPr>
                <w:ilvl w:val="0"/>
                <w:numId w:val="1"/>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Assisted forensic analysts in collecting, preserving, and analyzing digital evidence from seized electronic devices.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Conducted preliminary disk imaging and file system analysis under supervision following legal protocols.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Documented forensic findings clearly while maintaining evidence integrity and proper chain of custody.</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Supported analysis of email headers, IP logs, and basic network traffic patterns.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Prepared structured investigation reports for internal reviews and training discussions.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Collaborated with senior investigators during simulated cybercrime case assessments.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Savitribai Phule Pune University</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Pune</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Academic Project – Mobile Device Forensics</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07/2021</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12/2022</w:t>
            </w:r>
          </w:p>
        </w:tc>
        <w:tc>
          <w:tcPr>
            <w:tcW w:w="7480" w:type="dxa"/>
            <w:tcMar>
              <w:top w:w="0" w:type="dxa"/>
              <w:left w:w="0" w:type="dxa"/>
              <w:bottom w:w="0" w:type="dxa"/>
              <w:right w:w="0" w:type="dxa"/>
            </w:tcMar>
            <w:vAlign w:val="top"/>
            <w:hideMark/>
          </w:tcPr>
          <w:p>
            <w:pPr>
              <w:pStyle w:val="skn-sla2parlrColmnsinglecolumnulli"/>
              <w:numPr>
                <w:ilvl w:val="0"/>
                <w:numId w:val="2"/>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Performed mobile data extraction and analysis using forensic methodologies on test devices.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Studied deleted data recovery techniques and artifact identification within Android operating systems.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Applied forensic tools concepts to analyze call logs, messages, and application metadata.</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Documented step-by-step forensic procedures for academic evaluation and legal understanding.</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Presented findings using structured reports and visual evidence mapping.</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Improved technical writing and investigative reasoning through continuous academic mentoring.</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Digital India Awareness Program</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Pune</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Cyber Safety Awareness Volunteer</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01/2022</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03/2022</w:t>
            </w:r>
          </w:p>
        </w:tc>
        <w:tc>
          <w:tcPr>
            <w:tcW w:w="7480" w:type="dxa"/>
            <w:tcMar>
              <w:top w:w="0" w:type="dxa"/>
              <w:left w:w="0" w:type="dxa"/>
              <w:bottom w:w="0" w:type="dxa"/>
              <w:right w:w="0" w:type="dxa"/>
            </w:tcMar>
            <w:vAlign w:val="top"/>
            <w:hideMark/>
          </w:tcPr>
          <w:p>
            <w:pPr>
              <w:pStyle w:val="skn-sla2parlrColmnsinglecolumnulli"/>
              <w:numPr>
                <w:ilvl w:val="0"/>
                <w:numId w:val="3"/>
              </w:numPr>
              <w:pBdr>
                <w:top w:val="none" w:sz="0" w:space="0" w:color="auto"/>
                <w:left w:val="none" w:sz="0" w:space="0" w:color="auto"/>
                <w:bottom w:val="none" w:sz="0" w:space="0" w:color="auto"/>
                <w:right w:val="none" w:sz="0" w:space="0"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Assisted in conducting cyber safety sessions and basic digital crime awareness programs.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889"/>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Education</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7" style="position:absolute;z-index:-25165619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Master of Science (MSc)</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Digital Forensics</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Savitribai Phule Pune University</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Maharashtra</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January 2023</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Bachelor of Science (BSc)</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Computer Science</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Modern College of Arts, Science and Commerce</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Maharashtra</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January 2021</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Higher Secondary</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Maharashtra State Board</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January 2018</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Secondary School</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Maharashtra State Board</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January 2016</w:t>
      </w:r>
    </w:p>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3577"/>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Skills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8" style="position:absolute;z-index:-251655168"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30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83"/>
        <w:gridCol w:w="5677"/>
      </w:tblGrid>
      <w:tr>
        <w:tblPrEx>
          <w:tblW w:w="11360" w:type="dxa"/>
          <w:jc w:val="left"/>
          <w:tblInd w:w="0" w:type="dxa"/>
          <w:tblCellMar>
            <w:left w:w="108" w:type="dxa"/>
            <w:right w:w="108" w:type="dxa"/>
          </w:tblCellMar>
        </w:tblPrEx>
        <w:trPr>
          <w:jc w:val="left"/>
        </w:trPr>
        <w:tc>
          <w:tcPr>
            <w:tcW w:w="5680" w:type="dxa"/>
          </w:tcPr>
          <w:p>
            <w:pPr>
              <w:pStyle w:val="p"/>
              <w:numPr>
                <w:ilvl w:val="0"/>
                <w:numId w:val="4"/>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Digital Evidence Analysis</w:t>
            </w:r>
          </w:p>
        </w:tc>
        <w:tc>
          <w:tcPr>
            <w:tcW w:w="5680" w:type="dxa"/>
          </w:tcPr>
          <w:p>
            <w:pPr>
              <w:pStyle w:val="p"/>
              <w:numPr>
                <w:ilvl w:val="0"/>
                <w:numId w:val="5"/>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Cybercrime Investigation</w:t>
            </w:r>
          </w:p>
        </w:tc>
      </w:tr>
      <w:tr>
        <w:tblPrEx>
          <w:tblW w:w="11360" w:type="dxa"/>
          <w:jc w:val="left"/>
          <w:tblInd w:w="0" w:type="dxa"/>
          <w:tblCellMar>
            <w:left w:w="108" w:type="dxa"/>
            <w:right w:w="108" w:type="dxa"/>
          </w:tblCellMar>
        </w:tblPrEx>
        <w:trPr>
          <w:jc w:val="left"/>
        </w:trPr>
        <w:tc>
          <w:tcPr>
            <w:tcW w:w="5680" w:type="dxa"/>
          </w:tcPr>
          <w:p>
            <w:pPr>
              <w:pStyle w:val="p"/>
              <w:numPr>
                <w:ilvl w:val="0"/>
                <w:numId w:val="6"/>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Network Forensics</w:t>
            </w:r>
          </w:p>
        </w:tc>
        <w:tc>
          <w:tcPr>
            <w:tcW w:w="5680" w:type="dxa"/>
          </w:tcPr>
          <w:p>
            <w:pPr>
              <w:pStyle w:val="p"/>
              <w:numPr>
                <w:ilvl w:val="0"/>
                <w:numId w:val="7"/>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Disk and Data Recovery</w:t>
            </w:r>
          </w:p>
        </w:tc>
      </w:tr>
      <w:tr>
        <w:tblPrEx>
          <w:tblW w:w="11360" w:type="dxa"/>
          <w:jc w:val="left"/>
          <w:tblInd w:w="0" w:type="dxa"/>
          <w:tblCellMar>
            <w:left w:w="108" w:type="dxa"/>
            <w:right w:w="108" w:type="dxa"/>
          </w:tblCellMar>
        </w:tblPrEx>
        <w:trPr>
          <w:jc w:val="left"/>
        </w:trPr>
        <w:tc>
          <w:tcPr>
            <w:tcW w:w="5680" w:type="dxa"/>
          </w:tcPr>
          <w:p>
            <w:pPr>
              <w:pStyle w:val="p"/>
              <w:numPr>
                <w:ilvl w:val="0"/>
                <w:numId w:val="8"/>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Incident Documentation</w:t>
            </w:r>
          </w:p>
        </w:tc>
        <w:tc>
          <w:tcPr>
            <w:tcW w:w="5680" w:type="dxa"/>
          </w:tcPr>
          <w:p>
            <w:pPr>
              <w:pStyle w:val="p"/>
              <w:numPr>
                <w:ilvl w:val="0"/>
                <w:numId w:val="9"/>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Malware Fundamentals</w:t>
            </w:r>
          </w:p>
        </w:tc>
      </w:tr>
      <w:tr>
        <w:tblPrEx>
          <w:tblW w:w="11360" w:type="dxa"/>
          <w:jc w:val="left"/>
          <w:tblInd w:w="0" w:type="dxa"/>
          <w:tblCellMar>
            <w:left w:w="108" w:type="dxa"/>
            <w:right w:w="108" w:type="dxa"/>
          </w:tblCellMar>
        </w:tblPrEx>
        <w:trPr>
          <w:jc w:val="left"/>
        </w:trPr>
        <w:tc>
          <w:tcPr>
            <w:tcW w:w="5680" w:type="dxa"/>
          </w:tcPr>
          <w:p>
            <w:pPr>
              <w:pStyle w:val="p"/>
              <w:numPr>
                <w:ilvl w:val="0"/>
                <w:numId w:val="10"/>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Chain of Custody Handling</w:t>
            </w:r>
          </w:p>
        </w:tc>
        <w:tc>
          <w:tcPr>
            <w:tcW w:w="5680" w:type="dxa"/>
          </w:tcPr>
          <w:p>
            <w:pPr>
              <w:pStyle w:val="p"/>
              <w:numPr>
                <w:ilvl w:val="0"/>
                <w:numId w:val="11"/>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Log Analysis</w:t>
            </w:r>
          </w:p>
        </w:tc>
      </w:tr>
      <w:tr>
        <w:tblPrEx>
          <w:tblW w:w="11360" w:type="dxa"/>
          <w:jc w:val="left"/>
          <w:tblInd w:w="0" w:type="dxa"/>
          <w:tblCellMar>
            <w:left w:w="108" w:type="dxa"/>
            <w:right w:w="108" w:type="dxa"/>
          </w:tblCellMar>
        </w:tblPrEx>
        <w:trPr>
          <w:jc w:val="left"/>
        </w:trPr>
        <w:tc>
          <w:tcPr>
            <w:tcW w:w="5680" w:type="dxa"/>
          </w:tcPr>
          <w:p>
            <w:pPr>
              <w:pStyle w:val="p"/>
              <w:numPr>
                <w:ilvl w:val="0"/>
                <w:numId w:val="12"/>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Cybersecurity Basics</w:t>
            </w:r>
          </w:p>
        </w:tc>
        <w:tc>
          <w:tcPr>
            <w:tcW w:w="5680" w:type="dxa"/>
          </w:tcPr>
          <w:p>
            <w:pPr>
              <w:pStyle w:val="p"/>
              <w:numPr>
                <w:ilvl w:val="0"/>
                <w:numId w:val="13"/>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Analytical Reasoning</w:t>
            </w:r>
          </w:p>
        </w:tc>
      </w:tr>
    </w:tbl>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4235"/>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Certifications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9" style="position:absolute;z-index:-251654144"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80"/>
        <w:gridCol w:w="5680"/>
      </w:tblGrid>
      <w:tr>
        <w:tblPrEx>
          <w:tblW w:w="11360" w:type="dxa"/>
          <w:jc w:val="left"/>
          <w:tblInd w:w="0" w:type="dxa"/>
          <w:tblCellMar>
            <w:left w:w="108" w:type="dxa"/>
            <w:right w:w="108" w:type="dxa"/>
          </w:tblCellMar>
        </w:tblPrEx>
        <w:trPr>
          <w:jc w:val="left"/>
        </w:trPr>
        <w:tc>
          <w:tcPr>
            <w:tcW w:w="5680" w:type="dxa"/>
          </w:tcPr>
          <w:p>
            <w:pPr>
              <w:pStyle w:val="p"/>
              <w:numPr>
                <w:ilvl w:val="0"/>
                <w:numId w:val="14"/>
              </w:numP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Certificate in Cyber Crime Investigation Basics, 2022</w:t>
            </w:r>
          </w:p>
        </w:tc>
        <w:tc>
          <w:tcPr>
            <w:tcW w:w="5680" w:type="dxa"/>
          </w:tcPr>
          <w:p>
            <w:pPr>
              <w:pStyle w:val="p"/>
              <w:numPr>
                <w:ilvl w:val="0"/>
                <w:numId w:val="15"/>
              </w:numP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Digital Evidence Handling and Ethics Certification, 2021</w:t>
            </w: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792"/>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Projects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0" style="position:absolute;z-index:-25165312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Mobile device forensic analysis focusing on deleted data recovery techniques. Academic study on cybercrime investigation workflow and digital evidence management. Mobile Device Forensics, Savitribai Phule Pune University, 07/01/21, 12/31/22, Performed mobile data extraction and analysis using forensic methodologies on test devices., Studied deleted data recovery techniques and artifact identification within Android operating systems., Applied forensic tools concepts to analyze call logs, messages, and application metadata., Documented step-by-step forensic procedures for academic evaluation and legal understanding., Presented findings using structured reports and visual evidence mapping., Improved technical writing and investigative reasoning through continuous academic mentoring.</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500"/>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Accomplishments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1" style="position:absolute;z-index:-25165209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ulli"/>
        <w:numPr>
          <w:ilvl w:val="0"/>
          <w:numId w:val="16"/>
        </w:numPr>
        <w:shd w:val="clear" w:color="auto" w:fill="FFFFFF"/>
        <w:spacing w:before="0"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Successfully completed long-term digital forensics internship with positive evaluator feedback.</w:t>
      </w:r>
    </w:p>
    <w:p>
      <w:pPr>
        <w:pStyle w:val="skn-sla2ulli"/>
        <w:numPr>
          <w:ilvl w:val="0"/>
          <w:numId w:val="16"/>
        </w:numPr>
        <w:shd w:val="clear" w:color="auto" w:fill="FFFFFF"/>
        <w:spacing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Recognized for accurate documentation and adherence to forensic investigation procedures.</w:t>
      </w:r>
    </w:p>
    <w:p>
      <w:pPr>
        <w:pStyle w:val="skn-sla2ullinth-last-child1"/>
        <w:numPr>
          <w:ilvl w:val="0"/>
          <w:numId w:val="16"/>
        </w:numPr>
        <w:pBdr>
          <w:left w:val="none" w:sz="0" w:space="2" w:color="auto"/>
        </w:pBdr>
        <w:shd w:val="clear" w:color="auto" w:fill="FFFFFF"/>
        <w:spacing w:after="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Awarded academic merit for applied digital forensic case presentation.</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86"/>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W w:w="5000" w:type="pct"/>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References</w:t>
            </w:r>
            <w:r>
              <w:rPr>
                <w:rStyle w:val="skn-sla2reference-secheading"/>
                <w:rFonts w:ascii="Open Sans" w:eastAsia="Open Sans" w:hAnsi="Open Sans" w:cs="Open Sans"/>
                <w:color w:val="4A4A4A"/>
                <w:sz w:val="20"/>
                <w:szCs w:val="20"/>
                <w:highlight w:val="white"/>
                <w:bdr w:val="none" w:sz="0" w:space="0" w:color="auto"/>
                <w:vertAlign w:val="baseline"/>
              </w:rPr>
              <w:t>    </w:t>
            </w:r>
            <w:r>
              <w:pict>
                <v:line id="_x0000_s1032" style="position:absolute;z-index:-25165107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kn-sla2reference-secparagraphnth-last-child1"/>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References available upon request</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embedRegular r:id="rId1" w:fontKey="{9BFD5F4F-4B13-41F1-AFC6-0C9CB3F08597}"/>
  </w:font>
  <w:font w:name="Open Sans">
    <w:charset w:val="00"/>
    <w:family w:val="auto"/>
    <w:pitch w:val="default"/>
    <w:sig w:usb0="00000000" w:usb1="00000000" w:usb2="00000000" w:usb3="00000000" w:csb0="00000001" w:csb1="00000000"/>
    <w:embedRegular r:id="rId2" w:fontKey="{002A1821-A425-4E2D-BAA3-113DCB18C2A0}"/>
    <w:embedBold r:id="rId3" w:fontKey="{BEA9C194-B353-454A-825F-7FA888D47416}"/>
    <w:embedItalic r:id="rId4" w:fontKey="{4F6BE11B-5612-40D9-A57D-BB84B81A7D9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2pagesize">
    <w:name w:val="skn-sla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firstsection">
    <w:name w:val="skn-sla2_first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paragraph">
    <w:name w:val="skn-sla2_paragraph"/>
    <w:basedOn w:val="Normal"/>
  </w:style>
  <w:style w:type="paragraph" w:customStyle="1" w:styleId="skn-sla2nameLogo">
    <w:name w:val="skn-sla2_nameLogo"/>
    <w:basedOn w:val="Normal"/>
    <w:pPr>
      <w:jc w:val="center"/>
    </w:pPr>
  </w:style>
  <w:style w:type="paragraph" w:customStyle="1" w:styleId="skn-sla2name">
    <w:name w:val="skn-sla2_name"/>
    <w:basedOn w:val="Normal"/>
    <w:pPr>
      <w:pBdr>
        <w:top w:val="none" w:sz="0" w:space="0" w:color="auto"/>
        <w:left w:val="none" w:sz="0" w:space="0" w:color="auto"/>
        <w:bottom w:val="none" w:sz="0" w:space="0" w:color="auto"/>
        <w:right w:val="none" w:sz="0" w:space="0" w:color="auto"/>
      </w:pBdr>
      <w:spacing w:line="680" w:lineRule="atLeast"/>
      <w:jc w:val="center"/>
    </w:pPr>
    <w:rPr>
      <w:caps/>
      <w:color w:val="4A4A4A"/>
      <w:sz w:val="52"/>
      <w:szCs w:val="52"/>
    </w:rPr>
  </w:style>
  <w:style w:type="character" w:customStyle="1" w:styleId="span">
    <w:name w:val="span"/>
    <w:basedOn w:val="DefaultParagraphFont"/>
    <w:rPr>
      <w:bdr w:val="none" w:sz="0" w:space="0" w:color="auto"/>
      <w:vertAlign w:val="baseline"/>
    </w:rPr>
  </w:style>
  <w:style w:type="paragraph" w:customStyle="1" w:styleId="skn-sla2resume-title">
    <w:name w:val="skn-sla2_resume-title"/>
    <w:basedOn w:val="Normal"/>
    <w:pPr>
      <w:pBdr>
        <w:bottom w:val="none" w:sz="0" w:space="4" w:color="auto"/>
      </w:pBdr>
      <w:spacing w:line="360" w:lineRule="atLeast"/>
      <w:jc w:val="center"/>
    </w:pPr>
    <w:rPr>
      <w:rFonts w:ascii="Open Sans" w:eastAsia="Open Sans" w:hAnsi="Open Sans" w:cs="Open Sans"/>
      <w:b w:val="0"/>
      <w:bCs w:val="0"/>
      <w:sz w:val="28"/>
      <w:szCs w:val="28"/>
    </w:rPr>
  </w:style>
  <w:style w:type="paragraph" w:customStyle="1" w:styleId="skn-sla2SECTIONCNTC">
    <w:name w:val="skn-sla2_SECTION_CNTC"/>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address">
    <w:name w:val="skn-sla2_address"/>
    <w:basedOn w:val="Normal"/>
    <w:pPr>
      <w:spacing w:line="240" w:lineRule="atLeast"/>
      <w:jc w:val="center"/>
    </w:pPr>
    <w:rPr>
      <w:sz w:val="20"/>
      <w:szCs w:val="20"/>
    </w:rPr>
  </w:style>
  <w:style w:type="character" w:customStyle="1" w:styleId="skn-sla2sprtr">
    <w:name w:val="skn-sla2_sprtr"/>
    <w:basedOn w:val="DefaultParagraphFont"/>
  </w:style>
  <w:style w:type="character" w:customStyle="1" w:styleId="skn-sla2sprtrsprtr">
    <w:name w:val="skn-sla2_sprtr + sprtr"/>
    <w:basedOn w:val="DefaultParagraphFont"/>
    <w:rPr>
      <w:vanish/>
    </w:rPr>
  </w:style>
  <w:style w:type="character" w:customStyle="1" w:styleId="skn-sla2txt-bold">
    <w:name w:val="skn-sla2_txt-bold"/>
    <w:basedOn w:val="DefaultParagraphFont"/>
    <w:rPr>
      <w:b/>
      <w:bCs/>
    </w:rPr>
  </w:style>
  <w:style w:type="paragraph" w:customStyle="1" w:styleId="skn-sla2section">
    <w:name w:val="skn-sla2_section"/>
    <w:basedOn w:val="Normal"/>
  </w:style>
  <w:style w:type="paragraph" w:customStyle="1" w:styleId="section-spacing">
    <w:name w:val="section-spacing"/>
    <w:basedOn w:val="Normal"/>
    <w:rPr>
      <w:sz w:val="2"/>
      <w:szCs w:val="2"/>
    </w:rPr>
  </w:style>
  <w:style w:type="character" w:customStyle="1" w:styleId="section-spacingCharacter">
    <w:name w:val="section-spacing Character"/>
    <w:basedOn w:val="DefaultParagraphFont"/>
    <w:rPr>
      <w:sz w:val="2"/>
      <w:szCs w:val="2"/>
    </w:rPr>
  </w:style>
  <w:style w:type="character" w:customStyle="1" w:styleId="skn-sla2heading">
    <w:name w:val="skn-sla2_heading"/>
    <w:basedOn w:val="DefaultParagraphFont"/>
  </w:style>
  <w:style w:type="character" w:customStyle="1" w:styleId="skn-sla2sectiontitle">
    <w:name w:val="skn-sla2_sectiontitle"/>
    <w:basedOn w:val="DefaultParagraphFont"/>
    <w:rPr>
      <w:rFonts w:ascii="Bebas Neue" w:eastAsia="Bebas Neue" w:hAnsi="Bebas Neue" w:cs="Bebas Neue"/>
      <w:b w:val="0"/>
      <w:bCs w:val="0"/>
      <w:color w:val="4A4A4A"/>
      <w:sz w:val="24"/>
      <w:szCs w:val="24"/>
      <w:shd w:val="clear" w:color="auto" w:fill="FFFFFF"/>
    </w:rPr>
  </w:style>
  <w:style w:type="table" w:customStyle="1" w:styleId="skn-sla2section-heading-table">
    <w:name w:val="skn-sla2_section-heading-table"/>
    <w:basedOn w:val="TableNormal"/>
    <w:tblPr/>
  </w:style>
  <w:style w:type="paragraph" w:customStyle="1" w:styleId="heading-below-gap">
    <w:name w:val="heading-below-gap"/>
    <w:basedOn w:val="Normal"/>
    <w:rPr>
      <w:sz w:val="2"/>
      <w:szCs w:val="2"/>
    </w:rPr>
  </w:style>
  <w:style w:type="paragraph" w:customStyle="1" w:styleId="sectionparagraphfirstparagraphparagraph-spacing">
    <w:name w:val="section_paragraph_firstparagraph_paragraph-spacing"/>
    <w:basedOn w:val="Normal"/>
    <w:rPr>
      <w:vanish/>
    </w:rPr>
  </w:style>
  <w:style w:type="paragraph" w:customStyle="1" w:styleId="skn-sla2singlecolumn">
    <w:name w:val="skn-sla2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parlrColmn">
    <w:name w:val="skn-sla2_parlrColmn"/>
    <w:basedOn w:val="Normal"/>
  </w:style>
  <w:style w:type="character" w:customStyle="1" w:styleId="skn-sla2spandateswrapper">
    <w:name w:val="skn-sla2_span_dates_wrapper"/>
    <w:basedOn w:val="DefaultParagraphFont"/>
  </w:style>
  <w:style w:type="paragraph" w:customStyle="1" w:styleId="skn-sla2spanpaddedline">
    <w:name w:val="skn-sla2_span_paddedline"/>
    <w:basedOn w:val="Normal"/>
  </w:style>
  <w:style w:type="character" w:customStyle="1" w:styleId="skn-sla2jobtitle">
    <w:name w:val="skn-sla2_jobtitle"/>
    <w:basedOn w:val="DefaultParagraphFont"/>
    <w:rPr>
      <w:b/>
      <w:bCs/>
    </w:rPr>
  </w:style>
  <w:style w:type="character" w:customStyle="1" w:styleId="skn-sla2singlecolumnCharacter">
    <w:name w:val="skn-sla2_singlecolumn Character"/>
    <w:basedOn w:val="DefaultParagraphFont"/>
  </w:style>
  <w:style w:type="paragraph" w:customStyle="1" w:styleId="skn-sla2parlrColmnsinglecolumnulli">
    <w:name w:val="skn-sla2_parlrColmn_singlecolumn_ul_li"/>
    <w:basedOn w:val="Normal"/>
  </w:style>
  <w:style w:type="table" w:customStyle="1" w:styleId="expr-table">
    <w:name w:val="expr-table"/>
    <w:basedOn w:val="TableNormal"/>
    <w:tblPr/>
  </w:style>
  <w:style w:type="paragraph" w:customStyle="1" w:styleId="paragraph-spacing">
    <w:name w:val="paragraph-spacing"/>
    <w:basedOn w:val="Normal"/>
    <w:rPr>
      <w:sz w:val="2"/>
      <w:szCs w:val="2"/>
    </w:rPr>
  </w:style>
  <w:style w:type="character" w:customStyle="1" w:styleId="paragraph-spacingCharacter">
    <w:name w:val="paragraph-spacing Character"/>
    <w:basedOn w:val="DefaultParagraphFont"/>
    <w:rPr>
      <w:sz w:val="2"/>
      <w:szCs w:val="2"/>
    </w:rPr>
  </w:style>
  <w:style w:type="paragraph" w:customStyle="1" w:styleId="skn-sla2disp-block">
    <w:name w:val="skn-sla2_disp-block"/>
    <w:basedOn w:val="Normal"/>
  </w:style>
  <w:style w:type="character" w:customStyle="1" w:styleId="skn-sla2txt-itl">
    <w:name w:val="skn-sla2_txt-itl"/>
    <w:basedOn w:val="DefaultParagraphFont"/>
    <w:rPr>
      <w:i/>
      <w:iCs/>
    </w:rPr>
  </w:style>
  <w:style w:type="paragraph" w:customStyle="1" w:styleId="skn-sla2cmn-sec">
    <w:name w:val="skn-sla2_cmn-sec"/>
    <w:basedOn w:val="Normal"/>
  </w:style>
  <w:style w:type="character" w:customStyle="1" w:styleId="skn-sla2cmn-secparagraph">
    <w:name w:val="skn-sla2_cmn-sec_paragraph"/>
    <w:basedOn w:val="DefaultParagraphFont"/>
  </w:style>
  <w:style w:type="paragraph" w:customStyle="1" w:styleId="skn-sla2ullinth-last-child1">
    <w:name w:val="skn-sla2_ul_li_nth-last-child(1)"/>
    <w:basedOn w:val="Normal"/>
    <w:pPr>
      <w:pBdr>
        <w:bottom w:val="none" w:sz="0" w:space="0" w:color="auto"/>
      </w:pBdr>
    </w:pPr>
  </w:style>
  <w:style w:type="character" w:customStyle="1" w:styleId="pCharacter">
    <w:name w:val="p Character"/>
    <w:basedOn w:val="DefaultParagraphFont"/>
    <w:rPr>
      <w:bdr w:val="none" w:sz="0" w:space="0" w:color="auto"/>
      <w:vertAlign w:val="baseline"/>
    </w:rPr>
  </w:style>
  <w:style w:type="character" w:customStyle="1" w:styleId="skn-sla2cmn-secparagraphnth-last-child2">
    <w:name w:val="skn-sla2_cmn-sec_paragraph_nth-last-child(2)"/>
    <w:basedOn w:val="DefaultParagraphFont"/>
  </w:style>
  <w:style w:type="character" w:customStyle="1" w:styleId="skn-sla2cmn-secparagraphnth-last-child1">
    <w:name w:val="skn-sla2_cmn-sec_paragraph_nth-last-child(1)"/>
    <w:basedOn w:val="DefaultParagraphFont"/>
  </w:style>
  <w:style w:type="paragraph" w:customStyle="1" w:styleId="skn-sla2ulli">
    <w:name w:val="skn-sla2_ul_li"/>
    <w:basedOn w:val="Normal"/>
    <w:pPr>
      <w:pBdr>
        <w:top w:val="none" w:sz="0" w:space="0" w:color="auto"/>
        <w:left w:val="none" w:sz="0" w:space="2" w:color="auto"/>
        <w:bottom w:val="none" w:sz="0" w:space="0" w:color="auto"/>
        <w:right w:val="none" w:sz="0" w:space="0" w:color="auto"/>
      </w:pBdr>
    </w:pPr>
  </w:style>
  <w:style w:type="paragraph" w:customStyle="1" w:styleId="skn-sla2reference-sec">
    <w:name w:val="skn-sla2_reference-sec"/>
    <w:basedOn w:val="Normal"/>
  </w:style>
  <w:style w:type="character" w:customStyle="1" w:styleId="skn-sla2reference-secheading">
    <w:name w:val="skn-sla2_reference-sec_heading"/>
    <w:basedOn w:val="DefaultParagraphFont"/>
  </w:style>
  <w:style w:type="paragraph" w:customStyle="1" w:styleId="skn-sla2lnggparatable">
    <w:name w:val="skn-sla2_lnggparatable"/>
    <w:basedOn w:val="Normal"/>
  </w:style>
  <w:style w:type="paragraph" w:customStyle="1" w:styleId="skn-sla2reference-secparagraphnth-last-child1">
    <w:name w:val="skn-sla2_reference-sec_paragraph_nth-last-child(1)"/>
    <w:basedOn w:val="Normal"/>
    <w:pPr>
      <w:pBdr>
        <w:bottom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Aniket Deshpande</dc:title>
  <cp:revision>0</cp:revision>
</cp:coreProperties>
</file>