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slo3top-section"/>
        <w:tblW w:w="0" w:type="auto"/>
        <w:tblCellSpacing w:w="0" w:type="dxa"/>
        <w:tblLayout w:type="fixed"/>
        <w:tblCellMar>
          <w:top w:w="0" w:type="dxa"/>
          <w:left w:w="0" w:type="dxa"/>
          <w:bottom w:w="400" w:type="dxa"/>
          <w:right w:w="0" w:type="dxa"/>
        </w:tblCellMar>
        <w:tblLook w:val="05E0"/>
      </w:tblPr>
      <w:tblGrid>
        <w:gridCol w:w="1132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40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Style w:val="skn-slo3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640" w:lineRule="atLeast"/>
              <w:ind w:left="0" w:right="0"/>
              <w:rPr>
                <w:rStyle w:val="skn-slo3top-sectionright-box"/>
                <w:rFonts w:ascii="Open Sans" w:eastAsia="Open Sans" w:hAnsi="Open Sans" w:cs="Open Sans"/>
                <w:b/>
                <w:bCs/>
                <w:caps/>
                <w:color w:val="050505"/>
                <w:sz w:val="48"/>
                <w:szCs w:val="4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050505"/>
                <w:sz w:val="48"/>
                <w:szCs w:val="48"/>
              </w:rPr>
              <w:t>Ankit</w:t>
            </w:r>
            <w:r>
              <w:rPr>
                <w:rStyle w:val="skn-slo3top-sectionright-box"/>
                <w:rFonts w:ascii="Open Sans" w:eastAsia="Open Sans" w:hAnsi="Open Sans" w:cs="Open Sans"/>
                <w:b/>
                <w:bCs/>
                <w:caps/>
                <w:color w:val="050505"/>
                <w:sz w:val="48"/>
                <w:szCs w:val="48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050505"/>
                <w:sz w:val="48"/>
                <w:szCs w:val="48"/>
              </w:rPr>
              <w:t>Sharma</w:t>
            </w:r>
          </w:p>
          <w:p>
            <w:pPr>
              <w:pStyle w:val="skn-slo3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80" w:lineRule="atLeast"/>
              <w:ind w:left="0" w:right="0"/>
              <w:rPr>
                <w:rStyle w:val="skn-slo3top-sectionright-box"/>
                <w:rFonts w:ascii="Open Sans" w:eastAsia="Open Sans" w:hAnsi="Open Sans" w:cs="Open Sans"/>
                <w:b/>
                <w:bCs/>
                <w:caps/>
                <w:color w:val="050505"/>
                <w:sz w:val="28"/>
                <w:szCs w:val="2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050505"/>
                <w:sz w:val="28"/>
                <w:szCs w:val="28"/>
              </w:rPr>
              <w:t>Lead Data Scientist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60" w:lineRule="exac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top-section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inline>
                  <wp:extent cx="7598560" cy="13318"/>
                  <wp:docPr id="10000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98560" cy="133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400" w:lineRule="exac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+91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98765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43210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3top-section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drawing>
                <wp:anchor simplePos="0" relativeHeight="251658240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120689</wp:posOffset>
                  </wp:positionV>
                  <wp:extent cx="64041" cy="102158"/>
                  <wp:wrapNone/>
                  <wp:docPr id="10000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41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bluebullet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ankit.sharma@example.com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drawing>
                <wp:anchor simplePos="0" relativeHeight="251659264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120689</wp:posOffset>
                  </wp:positionV>
                  <wp:extent cx="64041" cy="102158"/>
                  <wp:wrapNone/>
                  <wp:docPr id="10000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41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bluebullet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Noida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,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Uttar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Pradesh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201309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nth-last-child1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nth-last-child1"/>
                <w:rFonts w:ascii="Open Sans" w:eastAsia="Open Sans" w:hAnsi="Open Sans" w:cs="Open Sans"/>
                <w:color w:val="050505"/>
                <w:sz w:val="20"/>
                <w:szCs w:val="20"/>
              </w:rPr>
              <w:drawing>
                <wp:anchor simplePos="0" relativeHeight="251660288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120689</wp:posOffset>
                  </wp:positionV>
                  <wp:extent cx="64041" cy="102158"/>
                  <wp:wrapNone/>
                  <wp:docPr id="100007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7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41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bluebullet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kn-slo3ullinth-last-child1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12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May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1986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3ullinth-last-child1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200"/>
        <w:ind w:left="0" w:right="0"/>
        <w:rPr>
          <w:rFonts w:ascii="Open Sans" w:eastAsia="Open Sans" w:hAnsi="Open Sans" w:cs="Open Sans"/>
          <w:b/>
          <w:bCs/>
          <w:caps/>
          <w:color w:val="050505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Professional Summary</w:t>
      </w:r>
    </w:p>
    <w:p>
      <w:pPr>
        <w:pStyle w:val="skn-slo3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30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pTo lead advanced data science initiatives, mentor high-performing teams, and deliver scalable analytical solutions that solve complex business problems./ppLead Data Scientist with 13+ years of experience across IT services, e-commerce, and financial analytics. Strong expertise in machine learning, predictive modeling, and large-scale data systems. Proven ability to translate business requirements into analytical solutions. Experienced in leading teams, managing stakeholders, and deploying production-ready models. Known for driving data-driven decision-making and improving business performance through actionable insights./p</w:t>
      </w:r>
    </w:p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050505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Skills</w:t>
      </w:r>
    </w:p>
    <w:tbl>
      <w:tblPr>
        <w:tblW w:w="10860" w:type="dxa"/>
        <w:jc w:val="left"/>
        <w:tblInd w:w="460" w:type="dxa"/>
        <w:tblCellMar>
          <w:left w:w="108" w:type="dxa"/>
          <w:right w:w="108" w:type="dxa"/>
        </w:tblCellMar>
      </w:tblPr>
      <w:tblGrid>
        <w:gridCol w:w="5039"/>
        <w:gridCol w:w="780"/>
        <w:gridCol w:w="5041"/>
      </w:tblGrid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Machine Learning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2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Predictive Modeling</w:t>
            </w:r>
          </w:p>
        </w:tc>
      </w:tr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3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Statistical Analysis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4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Python Programming</w:t>
            </w:r>
          </w:p>
        </w:tc>
      </w:tr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5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SQL &amp; Data Warehousing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6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Big Data Analytics</w:t>
            </w:r>
          </w:p>
        </w:tc>
      </w:tr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7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Model Deployment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8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Data Visualization</w:t>
            </w:r>
          </w:p>
        </w:tc>
      </w:tr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9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Team Leadership</w:t>
            </w:r>
          </w:p>
        </w:tc>
        <w:tc>
          <w:tcPr>
            <w:tcW w:w="600" w:type="dxa"/>
            <w:tcMar>
              <w:bottom w:w="0" w:type="dxa"/>
            </w:tcMar>
          </w:tcPr>
          <w:p/>
        </w:tc>
        <w:tc>
          <w:tcPr>
            <w:tcW w:w="513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10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Business Analytics</w:t>
            </w:r>
          </w:p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050505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Experience</w:t>
      </w:r>
    </w:p>
    <w:tbl>
      <w:tblPr>
        <w:tblStyle w:val="skn-slo3sectionexpr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90"/>
        <w:gridCol w:w="1093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90" w:type="dxa"/>
            <w:tcBorders>
              <w:left w:val="single" w:sz="8" w:space="0" w:color="C0C0C0"/>
            </w:tcBorders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xpr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1312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-25400</wp:posOffset>
                  </wp:positionV>
                  <wp:extent cx="89410" cy="190998"/>
                  <wp:wrapNone/>
                  <wp:docPr id="100009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9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909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30" w:type="dxa"/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Style w:val="skn-slo3disp-block"/>
              <w:spacing w:before="0" w:after="0" w:line="280" w:lineRule="atLeast"/>
              <w:ind w:left="100" w:right="0"/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Lead Data Scientist</w:t>
            </w:r>
            <w:r>
              <w:rPr>
                <w:rStyle w:val="spacebeforecomp"/>
                <w:color w:val="050505"/>
              </w:rPr>
              <w:t>  </w:t>
            </w:r>
            <w:r>
              <w:rPr>
                <w:rStyle w:val="skn-slo3color-support"/>
                <w:rFonts w:ascii="Open Sans" w:eastAsia="Open Sans" w:hAnsi="Open Sans" w:cs="Open Sans"/>
                <w:sz w:val="20"/>
                <w:szCs w:val="20"/>
              </w:rPr>
              <w:t>Quantix Analytics Pvt. Ltd.</w:t>
            </w:r>
          </w:p>
          <w:tbl>
            <w:tblPr>
              <w:tblStyle w:val="skn-slo3sectionexpr-sectbl-upper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680"/>
              <w:gridCol w:w="200"/>
              <w:gridCol w:w="40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6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Noida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slo3txt-capsCharacter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Uttar Pradesh</w:t>
                  </w:r>
                  <w:r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060" w:type="dxa"/>
                  <w:tcMar>
                    <w:top w:w="0" w:type="dxa"/>
                    <w:left w:w="0" w:type="dxa"/>
                    <w:bottom w:w="0" w:type="dxa"/>
                    <w:right w:w="2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jc w:val="right"/>
                    <w:textAlignment w:val="auto"/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March 2019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Present</w:t>
                  </w:r>
                  <w:r>
                    <w:rPr>
                      <w:rStyle w:val="skn-slo3txt-itl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100" w:right="0"/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W w:w="10830" w:type="dxa"/>
              <w:jc w:val="left"/>
              <w:tblInd w:w="10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5115"/>
              <w:gridCol w:w="600"/>
              <w:gridCol w:w="5115"/>
            </w:tblGrid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before="0"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Led end-to-end development of machine learning models supporting customer analytics, demand forecasting, and operational optimization.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Guided a team of data scientists and analysts through project execution, code reviews, and model validation activities.</w:t>
                  </w:r>
                </w:p>
              </w:tc>
            </w:tr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Collaborated with product managers to convert business problems into structured analytical use cases.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Deployed scalable models using cloud-based data platforms and automated pipelines.</w:t>
                  </w:r>
                </w:p>
              </w:tc>
            </w:tr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  <w:bottom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Reviewed model performance regularly and implemented continuous improvement strategies.</w:t>
                  </w:r>
                </w:p>
              </w:tc>
              <w:tc>
                <w:tcPr>
                  <w:tcW w:w="600" w:type="dxa"/>
                  <w:tcMar>
                    <w:bottom w:w="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  <w:bottom w:w="0" w:type="dxa"/>
                  </w:tcMar>
                </w:tcPr>
                <w:p>
                  <w:pPr>
                    <w:pStyle w:val="skn-slo3ullinth-last-child1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Presented insights and recommendations to senior leadership using clear visual storytelling.</w:t>
                  </w:r>
                </w:p>
              </w:tc>
            </w:tr>
          </w:tbl>
          <w:p/>
        </w:tc>
      </w:tr>
    </w:tbl>
    <w:p>
      <w:pPr>
        <w:rPr>
          <w:vanish/>
        </w:rPr>
      </w:pPr>
    </w:p>
    <w:tbl>
      <w:tblPr>
        <w:tblStyle w:val="skn-slo3sectionexpr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90"/>
        <w:gridCol w:w="1093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90" w:type="dxa"/>
            <w:tcBorders>
              <w:left w:val="single" w:sz="8" w:space="0" w:color="C0C0C0"/>
            </w:tcBorders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xpr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2336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25400</wp:posOffset>
                  </wp:positionV>
                  <wp:extent cx="89410" cy="127540"/>
                  <wp:wrapNone/>
                  <wp:docPr id="10001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30" w:type="dxa"/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Style w:val="skn-slo3disp-block"/>
              <w:spacing w:before="0" w:after="0" w:line="280" w:lineRule="atLeast"/>
              <w:ind w:left="100" w:right="0"/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Senior Data Scientist</w:t>
            </w:r>
            <w:r>
              <w:rPr>
                <w:rStyle w:val="spacebeforecomp"/>
                <w:color w:val="050505"/>
              </w:rPr>
              <w:t>  </w:t>
            </w:r>
            <w:r>
              <w:rPr>
                <w:rStyle w:val="skn-slo3color-support"/>
                <w:rFonts w:ascii="Open Sans" w:eastAsia="Open Sans" w:hAnsi="Open Sans" w:cs="Open Sans"/>
                <w:sz w:val="20"/>
                <w:szCs w:val="20"/>
              </w:rPr>
              <w:t>DataWave Technologies</w:t>
            </w:r>
          </w:p>
          <w:tbl>
            <w:tblPr>
              <w:tblStyle w:val="skn-slo3sectionexpr-sectbl-upper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680"/>
              <w:gridCol w:w="200"/>
              <w:gridCol w:w="40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6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Bengaluru</w:t>
                  </w:r>
                  <w:r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060" w:type="dxa"/>
                  <w:tcMar>
                    <w:top w:w="0" w:type="dxa"/>
                    <w:left w:w="0" w:type="dxa"/>
                    <w:bottom w:w="0" w:type="dxa"/>
                    <w:right w:w="2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jc w:val="right"/>
                    <w:textAlignment w:val="auto"/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January 2014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February 2019</w:t>
                  </w:r>
                  <w:r>
                    <w:rPr>
                      <w:rStyle w:val="skn-slo3txt-itl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100" w:right="0"/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W w:w="10830" w:type="dxa"/>
              <w:jc w:val="left"/>
              <w:tblInd w:w="10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5115"/>
              <w:gridCol w:w="600"/>
              <w:gridCol w:w="5115"/>
            </w:tblGrid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before="0"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Designed predictive models improving customer retention and revenue forecasting accuracy across multiple business units.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Applied statistical techniques to analyze large structured and unstructured datasets.</w:t>
                  </w:r>
                </w:p>
              </w:tc>
            </w:tr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Worked closely with engineering teams to integrate models into production environments.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Mentored junior data scientists on modeling techniques and best coding practices.</w:t>
                  </w:r>
                </w:p>
              </w:tc>
            </w:tr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  <w:bottom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Developed dashboards and reports supporting strategic and operational decisions.</w:t>
                  </w:r>
                </w:p>
              </w:tc>
              <w:tc>
                <w:tcPr>
                  <w:tcW w:w="600" w:type="dxa"/>
                  <w:tcMar>
                    <w:bottom w:w="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  <w:bottom w:w="0" w:type="dxa"/>
                  </w:tcMar>
                </w:tcPr>
                <w:p>
                  <w:pPr>
                    <w:pStyle w:val="skn-slo3ullinth-last-child1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Standardized documentation and model evaluation frameworks across projects.</w:t>
                  </w:r>
                </w:p>
              </w:tc>
            </w:tr>
          </w:tbl>
          <w:p/>
        </w:tc>
      </w:tr>
    </w:tbl>
    <w:p>
      <w:pPr>
        <w:rPr>
          <w:vanish/>
        </w:rPr>
      </w:pPr>
    </w:p>
    <w:tbl>
      <w:tblPr>
        <w:tblStyle w:val="skn-slo3sectionexpr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80"/>
        <w:gridCol w:w="1094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8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xpr-secparlrColmnparagraphnth-last-child1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paragraphnth-last-child1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3360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25400</wp:posOffset>
                  </wp:positionV>
                  <wp:extent cx="89410" cy="127540"/>
                  <wp:wrapNone/>
                  <wp:docPr id="10001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o3disp-block"/>
              <w:spacing w:before="0" w:after="0" w:line="280" w:lineRule="atLeast"/>
              <w:ind w:left="100" w:right="0"/>
              <w:rPr>
                <w:rStyle w:val="skn-slo3sectionexpr-secparlrColmnparagraphnth-last-child1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Data Scientist</w:t>
            </w:r>
            <w:r>
              <w:rPr>
                <w:rStyle w:val="spacebeforecomp"/>
                <w:color w:val="050505"/>
              </w:rPr>
              <w:t>  </w:t>
            </w:r>
            <w:r>
              <w:rPr>
                <w:rStyle w:val="skn-slo3color-support"/>
                <w:rFonts w:ascii="Open Sans" w:eastAsia="Open Sans" w:hAnsi="Open Sans" w:cs="Open Sans"/>
                <w:sz w:val="20"/>
                <w:szCs w:val="20"/>
              </w:rPr>
              <w:t>Innova Systems</w:t>
            </w:r>
          </w:p>
          <w:tbl>
            <w:tblPr>
              <w:tblStyle w:val="skn-slo3sectionexpr-sectbl-upper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680"/>
              <w:gridCol w:w="200"/>
              <w:gridCol w:w="40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6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Hyderabad</w:t>
                  </w:r>
                  <w:r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060" w:type="dxa"/>
                  <w:tcMar>
                    <w:top w:w="0" w:type="dxa"/>
                    <w:left w:w="0" w:type="dxa"/>
                    <w:bottom w:w="0" w:type="dxa"/>
                    <w:right w:w="2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jc w:val="right"/>
                    <w:textAlignment w:val="auto"/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July 2010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December 2013</w:t>
                  </w:r>
                  <w:r>
                    <w:rPr>
                      <w:rStyle w:val="skn-slo3txt-itl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100" w:right="0"/>
              <w:rPr>
                <w:rStyle w:val="skn-slo3sectionexpr-secparlrColmnparagraphnth-last-child1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paragraphnth-last-child1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W w:w="10840" w:type="dxa"/>
              <w:jc w:val="left"/>
              <w:tblInd w:w="10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5120"/>
              <w:gridCol w:w="600"/>
              <w:gridCol w:w="5120"/>
            </w:tblGrid>
            <w:tr>
              <w:tblPrEx>
                <w:tblW w:w="1084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3"/>
                    </w:numPr>
                    <w:tabs>
                      <w:tab w:val="left" w:pos="400"/>
                    </w:tabs>
                    <w:spacing w:before="0"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Built machine learning models for classification and regression use cases.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3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Performed data preprocessing, feature engineering, and exploratory data analysis.</w:t>
                  </w:r>
                </w:p>
              </w:tc>
            </w:tr>
            <w:tr>
              <w:tblPrEx>
                <w:tblW w:w="1084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3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Supported business teams with ad-hoc analytical requests and reporting needs.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3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Assisted in validating models and interpreting analytical results.</w:t>
                  </w:r>
                </w:p>
              </w:tc>
            </w:tr>
            <w:tr>
              <w:tblPrEx>
                <w:tblW w:w="1084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20" w:type="dxa"/>
                  <w:tcMar>
                    <w:left w:w="0" w:type="dxa"/>
                    <w:bottom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3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Improved data quality through structured cleaning and transformation processes.</w:t>
                  </w:r>
                </w:p>
              </w:tc>
              <w:tc>
                <w:tcPr>
                  <w:tcW w:w="600" w:type="dxa"/>
                  <w:tcMar>
                    <w:bottom w:w="0" w:type="dxa"/>
                  </w:tcMar>
                </w:tcPr>
                <w:p/>
              </w:tc>
              <w:tc>
                <w:tcPr>
                  <w:tcW w:w="5120" w:type="dxa"/>
                  <w:tcMar>
                    <w:left w:w="0" w:type="dxa"/>
                    <w:bottom w:w="0" w:type="dxa"/>
                  </w:tcMar>
                </w:tcPr>
                <w:p>
                  <w:pPr>
                    <w:pStyle w:val="skn-slo3ullinth-last-child1Paragraph"/>
                    <w:numPr>
                      <w:ilvl w:val="0"/>
                      <w:numId w:val="13"/>
                    </w:numPr>
                    <w:tabs>
                      <w:tab w:val="left" w:pos="400"/>
                    </w:tabs>
                    <w:spacing w:after="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Documented workflows and analytical assumptions for future reference.</w:t>
                  </w:r>
                </w:p>
              </w:tc>
            </w:tr>
          </w:tbl>
          <w:p/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050505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Education</w:t>
      </w:r>
    </w:p>
    <w:tbl>
      <w:tblPr>
        <w:tblStyle w:val="skn-slo3sectionedu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90"/>
        <w:gridCol w:w="1093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90" w:type="dxa"/>
            <w:tcBorders>
              <w:left w:val="single" w:sz="8" w:space="0" w:color="C0C0C0"/>
            </w:tcBorders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du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du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4384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-25400</wp:posOffset>
                  </wp:positionV>
                  <wp:extent cx="89410" cy="190998"/>
                  <wp:wrapNone/>
                  <wp:docPr id="10001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909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30" w:type="dxa"/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840"/>
              <w:gridCol w:w="100"/>
              <w:gridCol w:w="200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Bachelor of Technology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in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Computer Science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20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400"/>
              <w:gridCol w:w="100"/>
              <w:gridCol w:w="444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4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color-support"/>
                      <w:rFonts w:ascii="Open Sans" w:eastAsia="Open Sans" w:hAnsi="Open Sans" w:cs="Open Sans"/>
                      <w:sz w:val="20"/>
                      <w:szCs w:val="20"/>
                    </w:rPr>
                    <w:t>Jawaharlal Nehru Technological University</w:t>
                  </w:r>
                  <w:r>
                    <w:rPr>
                      <w:rStyle w:val="skn-slo3tbl-leftinner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4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June 2010</w:t>
                  </w:r>
                </w:p>
              </w:tc>
            </w:tr>
          </w:tbl>
          <w:p>
            <w:pPr>
              <w:rPr>
                <w:rStyle w:val="skn-slo3sectionedu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slo3sectionedu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90"/>
        <w:gridCol w:w="1093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90" w:type="dxa"/>
            <w:tcBorders>
              <w:left w:val="single" w:sz="8" w:space="0" w:color="C0C0C0"/>
            </w:tcBorders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du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du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5408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25400</wp:posOffset>
                  </wp:positionV>
                  <wp:extent cx="89410" cy="127540"/>
                  <wp:wrapNone/>
                  <wp:docPr id="100017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7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30" w:type="dxa"/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840"/>
              <w:gridCol w:w="100"/>
              <w:gridCol w:w="200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Higher Secondary Certificate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in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12th Standard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20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400"/>
              <w:gridCol w:w="100"/>
              <w:gridCol w:w="444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4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color-support"/>
                      <w:rFonts w:ascii="Open Sans" w:eastAsia="Open Sans" w:hAnsi="Open Sans" w:cs="Open Sans"/>
                      <w:sz w:val="20"/>
                      <w:szCs w:val="20"/>
                    </w:rPr>
                    <w:t>Delhi Public School</w:t>
                  </w:r>
                  <w:r>
                    <w:rPr>
                      <w:rStyle w:val="skn-slo3tbl-leftinner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4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March 2006</w:t>
                  </w:r>
                </w:p>
              </w:tc>
            </w:tr>
          </w:tbl>
          <w:p>
            <w:pPr>
              <w:rPr>
                <w:rStyle w:val="skn-slo3sectionedu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slo3sectionedu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80"/>
        <w:gridCol w:w="1094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8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du-secparlrColmnparagraphnth-last-child1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du-secparlrColmnparagraphnth-last-child1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6432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25400</wp:posOffset>
                  </wp:positionV>
                  <wp:extent cx="89410" cy="127540"/>
                  <wp:wrapNone/>
                  <wp:docPr id="100019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9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840"/>
              <w:gridCol w:w="100"/>
              <w:gridCol w:w="200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Secondary School Certificate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in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10th Standard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20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400"/>
              <w:gridCol w:w="100"/>
              <w:gridCol w:w="444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4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color-support"/>
                      <w:rFonts w:ascii="Open Sans" w:eastAsia="Open Sans" w:hAnsi="Open Sans" w:cs="Open Sans"/>
                      <w:sz w:val="20"/>
                      <w:szCs w:val="20"/>
                    </w:rPr>
                    <w:t>Delhi Public School</w:t>
                  </w:r>
                  <w:r>
                    <w:rPr>
                      <w:rStyle w:val="skn-slo3tbl-leftinner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4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March 2004</w:t>
                  </w:r>
                </w:p>
              </w:tc>
            </w:tr>
          </w:tbl>
          <w:p>
            <w:pPr>
              <w:rPr>
                <w:rStyle w:val="skn-slo3sectionedu-secparlrColmnparagraphnth-last-child1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050505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Certifications</w:t>
      </w:r>
    </w:p>
    <w:tbl>
      <w:tblPr>
        <w:tblW w:w="10860" w:type="dxa"/>
        <w:jc w:val="left"/>
        <w:tblInd w:w="460" w:type="dxa"/>
        <w:tblCellMar>
          <w:left w:w="108" w:type="dxa"/>
          <w:right w:w="108" w:type="dxa"/>
        </w:tblCellMar>
      </w:tblPr>
      <w:tblGrid>
        <w:gridCol w:w="5031"/>
        <w:gridCol w:w="780"/>
        <w:gridCol w:w="5048"/>
      </w:tblGrid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14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Certified Data Scientist, DataCamp, 2016</w:t>
            </w:r>
          </w:p>
        </w:tc>
        <w:tc>
          <w:tcPr>
            <w:tcW w:w="600" w:type="dxa"/>
            <w:tcMar>
              <w:bottom w:w="0" w:type="dxa"/>
            </w:tcMar>
          </w:tcPr>
          <w:p/>
        </w:tc>
        <w:tc>
          <w:tcPr>
            <w:tcW w:w="513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15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Machine Learning Specialization, Coursera, 2018</w:t>
            </w:r>
          </w:p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050505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Projects</w:t>
      </w:r>
    </w:p>
    <w:p>
      <w:pPr>
        <w:pStyle w:val="skn-slo3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8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Customer Churn Prediction, Developed predictive models reducing churn by identifying high-risk customers early. Demand Forecasting System, Built time-series models improving inventory planning accuracy.</w:t>
      </w:r>
    </w:p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050505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Accomplishments</w:t>
      </w:r>
    </w:p>
    <w:p>
      <w:pPr>
        <w:pStyle w:val="skn-slo3ulliParagraph"/>
        <w:numPr>
          <w:ilvl w:val="0"/>
          <w:numId w:val="1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100" w:line="280" w:lineRule="atLeast"/>
        <w:ind w:left="400" w:right="0" w:hanging="23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Successfully led delivery of analytics projects impacting multi-crore annual revenue.</w:t>
      </w:r>
    </w:p>
    <w:p>
      <w:pPr>
        <w:pStyle w:val="skn-slo3ulliParagraph"/>
        <w:numPr>
          <w:ilvl w:val="0"/>
          <w:numId w:val="16"/>
        </w:numPr>
        <w:spacing w:after="100" w:line="280" w:lineRule="atLeast"/>
        <w:ind w:left="400" w:right="0" w:hanging="23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Built and mentored a high-performing data science team from scratch.</w:t>
      </w:r>
    </w:p>
    <w:p>
      <w:pPr>
        <w:pStyle w:val="skn-slo3ullinth-last-child1Paragraph"/>
        <w:numPr>
          <w:ilvl w:val="0"/>
          <w:numId w:val="16"/>
        </w:numPr>
        <w:spacing w:after="0" w:line="280" w:lineRule="atLeast"/>
        <w:ind w:left="400" w:right="0" w:hanging="23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Recognized for improving model accuracy and deployment efficiency.</w:t>
      </w:r>
    </w:p>
    <w:sectPr>
      <w:pgSz w:w="12240" w:h="15840"/>
      <w:pgMar w:top="460" w:right="460" w:bottom="460" w:left="46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5CF8301D-A430-4183-B70B-8642D3B566A1}"/>
    <w:embedBold r:id="rId2" w:fontKey="{26F4B5D1-E83F-4552-BE47-5C59EC2B814C}"/>
    <w:embedItalic r:id="rId3" w:fontKey="{0F87427F-DCB2-40F6-9B77-611616AB83D2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50505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50505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50505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50505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50505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50505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50505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50505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50505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50505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50505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50505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50505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50505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50505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50505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o3pagesize">
    <w:name w:val="skn-slo3_pagesize"/>
    <w:basedOn w:val="Normal"/>
  </w:style>
  <w:style w:type="character" w:customStyle="1" w:styleId="skn-slo3top-sectionleft-box">
    <w:name w:val="skn-slo3_top-section_left-box"/>
    <w:basedOn w:val="DefaultParagraphFont"/>
  </w:style>
  <w:style w:type="character" w:customStyle="1" w:styleId="skn-slo3top-sectionright-box">
    <w:name w:val="skn-slo3_top-section_right-box"/>
    <w:basedOn w:val="DefaultParagraphFont"/>
  </w:style>
  <w:style w:type="paragraph" w:customStyle="1" w:styleId="skn-slo3firstsection">
    <w:name w:val="skn-slo3_firstsection"/>
    <w:basedOn w:val="Normal"/>
  </w:style>
  <w:style w:type="paragraph" w:customStyle="1" w:styleId="skn-slo3firstparagraph">
    <w:name w:val="skn-slo3_firstparagraph"/>
    <w:basedOn w:val="Normal"/>
  </w:style>
  <w:style w:type="paragraph" w:customStyle="1" w:styleId="skn-slo3txt-caps">
    <w:name w:val="skn-slo3_txt-caps"/>
    <w:basedOn w:val="Normal"/>
    <w:rPr>
      <w:caps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character" w:customStyle="1" w:styleId="skn-slo3txt-capsCharacter">
    <w:name w:val="skn-slo3_txt-caps Character"/>
    <w:basedOn w:val="DefaultParagraphFont"/>
    <w:rPr>
      <w:caps/>
    </w:rPr>
  </w:style>
  <w:style w:type="paragraph" w:customStyle="1" w:styleId="skn-slo3cntc-sec">
    <w:name w:val="skn-slo3_cntc-sec"/>
    <w:basedOn w:val="Normal"/>
  </w:style>
  <w:style w:type="paragraph" w:customStyle="1" w:styleId="skn-slo3right-boxcntc-secparagraph">
    <w:name w:val="skn-slo3_right-box_cntc-sec_paragraph"/>
    <w:basedOn w:val="Normal"/>
    <w:pPr>
      <w:spacing w:line="400" w:lineRule="atLeast"/>
    </w:pPr>
  </w:style>
  <w:style w:type="paragraph" w:customStyle="1" w:styleId="skn-slo3address">
    <w:name w:val="skn-slo3_address"/>
    <w:basedOn w:val="Normal"/>
  </w:style>
  <w:style w:type="character" w:customStyle="1" w:styleId="skn-slo3ulli">
    <w:name w:val="skn-slo3_ul_li"/>
    <w:basedOn w:val="DefaultParagraphFont"/>
  </w:style>
  <w:style w:type="character" w:customStyle="1" w:styleId="spacebeforebulletcntc">
    <w:name w:val="spacebefore_bullet_cntc"/>
    <w:basedOn w:val="DefaultParagraphFont"/>
    <w:rPr>
      <w:rFonts w:ascii="Arial" w:eastAsia="Arial" w:hAnsi="Arial" w:cs="Arial"/>
      <w:sz w:val="20"/>
      <w:szCs w:val="20"/>
    </w:rPr>
  </w:style>
  <w:style w:type="character" w:customStyle="1" w:styleId="bluebullet">
    <w:name w:val="bluebullet"/>
    <w:basedOn w:val="DefaultParagraphFont"/>
    <w:rPr>
      <w:rFonts w:ascii="Arial" w:eastAsia="Arial" w:hAnsi="Arial" w:cs="Arial"/>
      <w:sz w:val="20"/>
      <w:szCs w:val="20"/>
    </w:rPr>
  </w:style>
  <w:style w:type="character" w:customStyle="1" w:styleId="skn-slo3spanempty">
    <w:name w:val="skn-slo3_span_empty"/>
    <w:basedOn w:val="DefaultParagraphFont"/>
    <w:rPr>
      <w:vanish/>
    </w:rPr>
  </w:style>
  <w:style w:type="character" w:customStyle="1" w:styleId="skn-slo3ullinth-last-child1">
    <w:name w:val="skn-slo3_ul_li_nth-last-child(1)"/>
    <w:basedOn w:val="DefaultParagraphFont"/>
  </w:style>
  <w:style w:type="character" w:customStyle="1" w:styleId="skn-slo3addressCharacter">
    <w:name w:val="skn-slo3_address Character"/>
    <w:basedOn w:val="DefaultParagraphFont"/>
  </w:style>
  <w:style w:type="table" w:customStyle="1" w:styleId="skn-slo3top-section">
    <w:name w:val="skn-slo3_top-section"/>
    <w:basedOn w:val="TableNormal"/>
    <w:tblPr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3top-sectionparent-containersectionnth-child1">
    <w:name w:val="skn-slo3_top-section + parent-container_section_nth-child(1)"/>
    <w:basedOn w:val="Normal"/>
  </w:style>
  <w:style w:type="paragraph" w:customStyle="1" w:styleId="skn-slo3heading">
    <w:name w:val="skn-slo3_heading"/>
    <w:basedOn w:val="Normal"/>
    <w:rPr>
      <w:b/>
      <w:bCs/>
      <w:caps/>
    </w:rPr>
  </w:style>
  <w:style w:type="paragraph" w:customStyle="1" w:styleId="skn-slo3section-title">
    <w:name w:val="skn-slo3_section-title"/>
    <w:basedOn w:val="Normal"/>
    <w:pPr>
      <w:spacing w:line="340" w:lineRule="atLeast"/>
    </w:pPr>
    <w:rPr>
      <w:color w:val="050505"/>
      <w:sz w:val="24"/>
      <w:szCs w:val="24"/>
    </w:rPr>
  </w:style>
  <w:style w:type="paragraph" w:customStyle="1" w:styleId="skn-slo3singlecolumn">
    <w:name w:val="skn-slo3_singlecolumn"/>
    <w:basedOn w:val="Normal"/>
  </w:style>
  <w:style w:type="paragraph" w:customStyle="1" w:styleId="skn-slo3cmn-sec">
    <w:name w:val="skn-slo3_cmn-sec"/>
    <w:basedOn w:val="Normal"/>
  </w:style>
  <w:style w:type="paragraph" w:customStyle="1" w:styleId="skn-slo3cmn-secheading">
    <w:name w:val="skn-slo3_cmn-sec_heading"/>
    <w:basedOn w:val="Normal"/>
  </w:style>
  <w:style w:type="paragraph" w:customStyle="1" w:styleId="skn-slo3cmn-secparagraph">
    <w:name w:val="skn-slo3_cmn-sec_paragraph"/>
    <w:basedOn w:val="Normal"/>
    <w:pPr>
      <w:pBdr>
        <w:left w:val="none" w:sz="0" w:space="18" w:color="auto"/>
      </w:pBdr>
      <w:spacing w:line="300" w:lineRule="atLeast"/>
    </w:pPr>
    <w:rPr>
      <w:sz w:val="20"/>
      <w:szCs w:val="20"/>
    </w:rPr>
  </w:style>
  <w:style w:type="paragraph" w:customStyle="1" w:styleId="skn-slo3ullinth-last-child1Paragraph">
    <w:name w:val="skn-slo3_ul_li_nth-last-child(1) Paragraph"/>
    <w:basedOn w:val="Normal"/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skn-slo3cmn-secparagraphnth-last-child2">
    <w:name w:val="skn-slo3_cmn-sec_paragraph_nth-last-child(2)"/>
    <w:basedOn w:val="Normal"/>
  </w:style>
  <w:style w:type="paragraph" w:customStyle="1" w:styleId="skn-slo3cmn-secparagraphnth-last-child1">
    <w:name w:val="skn-slo3_cmn-sec_paragraph_nth-last-child(1)"/>
    <w:basedOn w:val="Normal"/>
  </w:style>
  <w:style w:type="paragraph" w:customStyle="1" w:styleId="skn-slo3section">
    <w:name w:val="skn-slo3_section"/>
    <w:basedOn w:val="Normal"/>
  </w:style>
  <w:style w:type="character" w:customStyle="1" w:styleId="skn-slo3sectionexpr-secparlrColmntimeline-svg">
    <w:name w:val="skn-slo3_section_expr-sec_parlrColmn_timeline-svg"/>
    <w:basedOn w:val="DefaultParagraphFont"/>
  </w:style>
  <w:style w:type="character" w:customStyle="1" w:styleId="skn-slo3sectionexpr-secparlrColmnsinglecolumn">
    <w:name w:val="skn-slo3_section_expr-sec_parlrColmn_singlecolumn"/>
    <w:basedOn w:val="DefaultParagraphFont"/>
  </w:style>
  <w:style w:type="paragraph" w:customStyle="1" w:styleId="skn-slo3disp-block">
    <w:name w:val="skn-slo3_disp-block"/>
    <w:basedOn w:val="Normal"/>
  </w:style>
  <w:style w:type="character" w:customStyle="1" w:styleId="spacebeforecomp">
    <w:name w:val="space_before_comp"/>
    <w:basedOn w:val="DefaultParagraphFont"/>
    <w:rPr>
      <w:rFonts w:ascii="Arial" w:eastAsia="Arial" w:hAnsi="Arial" w:cs="Arial"/>
      <w:sz w:val="20"/>
      <w:szCs w:val="20"/>
    </w:rPr>
  </w:style>
  <w:style w:type="character" w:customStyle="1" w:styleId="skn-slo3color-support">
    <w:name w:val="skn-slo3_color-support"/>
    <w:basedOn w:val="DefaultParagraphFont"/>
    <w:rPr>
      <w:color w:val="050505"/>
    </w:rPr>
  </w:style>
  <w:style w:type="character" w:customStyle="1" w:styleId="skn-slo3sectionexpr-sectbl-uppertbl-leftinner">
    <w:name w:val="skn-slo3_section_expr-sec_tbl-upper_tbl-leftinner"/>
    <w:basedOn w:val="DefaultParagraphFont"/>
  </w:style>
  <w:style w:type="character" w:customStyle="1" w:styleId="singlecolumnspanpaddedlinenth-child1">
    <w:name w:val="singlecolumn_span_paddedline_nth-child(1)"/>
    <w:basedOn w:val="DefaultParagraphFont"/>
  </w:style>
  <w:style w:type="character" w:customStyle="1" w:styleId="skn-slo3sectionexpr-sectbl-upperpaddingcell">
    <w:name w:val="skn-slo3_section_expr-sec_tbl-upper_paddingcell"/>
    <w:basedOn w:val="DefaultParagraphFont"/>
  </w:style>
  <w:style w:type="character" w:customStyle="1" w:styleId="skn-slo3sectionexpr-sectbl-uppertbl-inner">
    <w:name w:val="skn-slo3_section_expr-sec_tbl-upper_tbl-inner"/>
    <w:basedOn w:val="DefaultParagraphFont"/>
  </w:style>
  <w:style w:type="character" w:customStyle="1" w:styleId="skn-slo3txt-itl">
    <w:name w:val="skn-slo3_txt-itl"/>
    <w:basedOn w:val="DefaultParagraphFont"/>
    <w:rPr>
      <w:i/>
      <w:iCs/>
    </w:rPr>
  </w:style>
  <w:style w:type="table" w:customStyle="1" w:styleId="skn-slo3sectionexpr-sectbl-upper">
    <w:name w:val="skn-slo3_section_expr-sec_tbl-upper"/>
    <w:basedOn w:val="TableNormal"/>
    <w:tblPr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paragraph" w:customStyle="1" w:styleId="skn-slo3ulliParagraph">
    <w:name w:val="skn-slo3_ul_li Paragraph"/>
    <w:basedOn w:val="Normal"/>
  </w:style>
  <w:style w:type="table" w:customStyle="1" w:styleId="skn-slo3sectionexpr-secparlrColmn">
    <w:name w:val="skn-slo3_section_expr-sec_parlrColmn"/>
    <w:basedOn w:val="TableNormal"/>
    <w:tblPr/>
  </w:style>
  <w:style w:type="character" w:customStyle="1" w:styleId="skn-slo3sectionexpr-secparlrColmnparagraphnth-last-child1timeline-svg">
    <w:name w:val="skn-slo3_section_expr-sec_parlrColmn_paragraph_nth-last-child(1)_timeline-svg"/>
    <w:basedOn w:val="DefaultParagraphFont"/>
    <w:rPr>
      <w:bdr w:val="none" w:sz="0" w:space="0" w:color="auto"/>
    </w:rPr>
  </w:style>
  <w:style w:type="character" w:customStyle="1" w:styleId="skn-slo3sectionexpr-secparlrColmnparagraphnth-last-child1singlecolumn">
    <w:name w:val="skn-slo3_section_expr-sec_parlrColmn_paragraph_nth-last-child(1)_singlecolumn"/>
    <w:basedOn w:val="DefaultParagraphFont"/>
  </w:style>
  <w:style w:type="character" w:customStyle="1" w:styleId="skn-slo3sectionedu-secparlrColmntimeline-svg">
    <w:name w:val="skn-slo3_section_edu-sec_parlrColmn_timeline-svg"/>
    <w:basedOn w:val="DefaultParagraphFont"/>
  </w:style>
  <w:style w:type="character" w:customStyle="1" w:styleId="skn-slo3sectionedu-secparlrColmnsinglecolumn">
    <w:name w:val="skn-slo3_section_edu-sec_parlrColmn_singlecolumn"/>
    <w:basedOn w:val="DefaultParagraphFont"/>
  </w:style>
  <w:style w:type="character" w:customStyle="1" w:styleId="skn-slo3edu-secparagraphsinglecolumnedu-headerfield-groupfield-group-leftCell">
    <w:name w:val="skn-slo3_edu-sec_paragraph_singlecolumn_edu-header_field-group_field-group-leftCell"/>
    <w:basedOn w:val="DefaultParagraphFont"/>
  </w:style>
  <w:style w:type="character" w:customStyle="1" w:styleId="skn-slo3edu-seccmn-title">
    <w:name w:val="skn-slo3_edu-sec_cmn-title"/>
    <w:basedOn w:val="DefaultParagraphFont"/>
  </w:style>
  <w:style w:type="character" w:customStyle="1" w:styleId="skn-slo3edu-secparagraphsinglecolumnedu-headerfield-grouppaddingcell">
    <w:name w:val="skn-slo3_edu-sec_paragraph_singlecolumn_edu-header_field-group_paddingcell"/>
    <w:basedOn w:val="DefaultParagraphFont"/>
  </w:style>
  <w:style w:type="paragraph" w:customStyle="1" w:styleId="skn-slo3edu-secparagraphsinglecolumnedu-headerfield-grouppaddingcellParagraph">
    <w:name w:val="skn-slo3_edu-sec_paragraph_singlecolumn_edu-header_field-group_paddingcell Paragraph"/>
    <w:basedOn w:val="Normal"/>
  </w:style>
  <w:style w:type="character" w:customStyle="1" w:styleId="skn-slo3edu-secparagraphsinglecolumnedu-headerfield-groupfield-group-rightCell">
    <w:name w:val="skn-slo3_edu-sec_paragraph_singlecolumn_edu-header_field-group_field-group-rightCell"/>
    <w:basedOn w:val="DefaultParagraphFont"/>
  </w:style>
  <w:style w:type="character" w:customStyle="1" w:styleId="skn-slo3spce-beforegpa">
    <w:name w:val="skn-slo3_spce-beforegpa"/>
    <w:basedOn w:val="DefaultParagraphFont"/>
    <w:rPr>
      <w:sz w:val="20"/>
      <w:szCs w:val="20"/>
    </w:rPr>
  </w:style>
  <w:style w:type="table" w:customStyle="1" w:styleId="skn-slo3edu-secparagraphsinglecolumnedu-headerfield-group">
    <w:name w:val="skn-slo3_edu-sec_paragraph_singlecolumn_edu-header_field-group"/>
    <w:basedOn w:val="TableNormal"/>
    <w:tblPr/>
  </w:style>
  <w:style w:type="character" w:customStyle="1" w:styleId="skn-slo3tbl-leftinner">
    <w:name w:val="skn-slo3_tbl-leftinner"/>
    <w:basedOn w:val="DefaultParagraphFont"/>
  </w:style>
  <w:style w:type="character" w:customStyle="1" w:styleId="skn-slo3edu-secparagraphsinglecolumnedu-headerfield-groupfield-group-rightCellfield-group-rightCell-stillenrolled">
    <w:name w:val="skn-slo3_edu-sec_paragraph_singlecolumn_edu-header_field-group_field-group-rightCell_field-group-rightCell-stillenrolled"/>
    <w:basedOn w:val="DefaultParagraphFont"/>
  </w:style>
  <w:style w:type="table" w:customStyle="1" w:styleId="skn-slo3sectionedu-secparlrColmn">
    <w:name w:val="skn-slo3_section_edu-sec_parlrColmn"/>
    <w:basedOn w:val="TableNormal"/>
    <w:tblPr/>
  </w:style>
  <w:style w:type="character" w:customStyle="1" w:styleId="skn-slo3sectionedu-secparlrColmnparagraphnth-last-child1timeline-svg">
    <w:name w:val="skn-slo3_section_edu-sec_parlrColmn_paragraph_nth-last-child(1)_timeline-svg"/>
    <w:basedOn w:val="DefaultParagraphFont"/>
    <w:rPr>
      <w:bdr w:val="none" w:sz="0" w:space="0" w:color="auto"/>
    </w:rPr>
  </w:style>
  <w:style w:type="character" w:customStyle="1" w:styleId="skn-slo3sectionedu-secparlrColmnparagraphnth-last-child1singlecolumn">
    <w:name w:val="skn-slo3_section_edu-sec_parlrColmn_paragraph_nth-last-child(1)_singlecolumn"/>
    <w:basedOn w:val="DefaultParagraphFont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Ankit Sharma</dc:title>
  <cp:revision>0</cp:revision>
</cp:coreProperties>
</file>