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Rohan</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Mehta</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2A68A0"/>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Investment Banking Manager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2A68A0"/>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rohan.mehta@example.com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New</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Delhi</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Delhi</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110016</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18</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August</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1990</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A68A0"/>
        </w:rPr>
        <w:t>   </w:t>
      </w:r>
      <w:r>
        <w:rPr>
          <w:rStyle w:val="span"/>
          <w:rFonts w:ascii="Barlow Condensed" w:eastAsia="Barlow Condensed" w:hAnsi="Barlow Condensed" w:cs="Barlow Condensed"/>
          <w:color w:val="FFFFFF"/>
          <w:shd w:val="clear" w:color="auto" w:fill="2A68A0"/>
        </w:rPr>
        <w:t>Professional Summary</w:t>
      </w:r>
      <w:r>
        <w:rPr>
          <w:rStyle w:val="documentheadingpadding"/>
          <w:color w:val="FFFFFF"/>
          <w:shd w:val="clear" w:color="auto" w:fill="2A68A0"/>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Seasoned Investment Banking Manager with expertise in leading M&amp;A and fundraising transactions, advanced financial modeling, and client relationship management. Proven track record in mentoring teams and overseeing transaction structuring to deliver strategic solutions. Ready to leverage skills and experience to drive success as an Investment Banking Manager.</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A68A0"/>
        </w:rPr>
        <w:t>   </w:t>
      </w:r>
      <w:r>
        <w:rPr>
          <w:rStyle w:val="span"/>
          <w:rFonts w:ascii="Barlow Condensed" w:eastAsia="Barlow Condensed" w:hAnsi="Barlow Condensed" w:cs="Barlow Condensed"/>
          <w:color w:val="FFFFFF"/>
          <w:shd w:val="clear" w:color="auto" w:fill="2A68A0"/>
        </w:rPr>
        <w:t>Skills</w:t>
      </w:r>
      <w:r>
        <w:rPr>
          <w:rStyle w:val="documentheadingpadding"/>
          <w:color w:val="FFFFFF"/>
          <w:shd w:val="clear" w:color="auto" w:fill="2A68A0"/>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0"/>
        <w:gridCol w:w="5720"/>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Deal Execution Management</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Advanced Financial Modeling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Valuation Techniques</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Client Relationship Management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Mergers and Acquisitions</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Due Diligence Oversight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Pitch Book Leadership</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Team Mentoring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Financial Statement Review</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Transaction Structuring</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A68A0"/>
              </w:rPr>
              <w:t>   </w:t>
            </w:r>
            <w:r>
              <w:rPr>
                <w:rStyle w:val="span"/>
                <w:rFonts w:ascii="Barlow Condensed" w:eastAsia="Barlow Condensed" w:hAnsi="Barlow Condensed" w:cs="Barlow Condensed"/>
                <w:color w:val="FFFFFF"/>
                <w:shd w:val="clear" w:color="auto" w:fill="2A68A0"/>
              </w:rPr>
              <w:t>Experience</w:t>
            </w:r>
            <w:r>
              <w:rPr>
                <w:rStyle w:val="documentheadingpadding"/>
                <w:color w:val="FFFFFF"/>
                <w:shd w:val="clear" w:color="auto" w:fill="2A68A0"/>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Apr 2021</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A68A0"/>
                      <w:sz w:val="20"/>
                      <w:szCs w:val="20"/>
                    </w:rPr>
                    <w:t>Investment Banking Manager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Vertex Capital Partners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New Delhi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Delhi</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execution of M&amp;A and fundraising transactions from initial mandate to deal closure stages.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and approved financial models, valuation outputs, and key assumptions prepared by junior team members.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client communication and coordinated with legal, tax, and external advisors during transactions.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Oversaw preparation of pitch books, information memorandums, and management presentations for senior stakeholders.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deal timelines and ensured compliance with internal approval and regulatory requirements.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Provided guidance and mentoring to analysts and associates to improve analytical quality.</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final reviews of transaction documents to ensure accuracy and consistency before client submission.</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2017</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Mar 2021</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A68A0"/>
                      <w:sz w:val="20"/>
                      <w:szCs w:val="20"/>
                    </w:rPr>
                    <w:t>Investment Banking Associate</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Crestview Financial Advisors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Gurugram</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2"/>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managers in executing equity and debt transactions across multiple industry sectors.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Built complex financial models including DCF, LBO, and sensitivity analysis for valuation purposes.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pitch decks and marketing materials for client presentations and deal origination meetings.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due diligence processes and managed data rooms during active transactions.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financial statements to identify risks, trends, and normalization adjustments.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transaction structuring discussions and preparation of term sheets.</w:t>
                  </w:r>
                </w:p>
                <w:p>
                  <w:pPr>
                    <w:pStyle w:val="documentskn-mlo4sec-exprullinth-last-child1"/>
                    <w:numPr>
                      <w:ilvl w:val="0"/>
                      <w:numId w:val="12"/>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detailed deal trackers and ensured timely completion of execution deliverables.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A68A0"/>
              </w:rPr>
              <w:t>   </w:t>
            </w:r>
            <w:r>
              <w:rPr>
                <w:rStyle w:val="span"/>
                <w:rFonts w:ascii="Barlow Condensed" w:eastAsia="Barlow Condensed" w:hAnsi="Barlow Condensed" w:cs="Barlow Condensed"/>
                <w:color w:val="FFFFFF"/>
                <w:shd w:val="clear" w:color="auto" w:fill="2A68A0"/>
              </w:rPr>
              <w:t>Education</w:t>
            </w:r>
            <w:r>
              <w:rPr>
                <w:rStyle w:val="documentheadingpadding"/>
                <w:color w:val="FFFFFF"/>
                <w:shd w:val="clear" w:color="auto" w:fill="2A68A0"/>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Apr 2011</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2A68A0"/>
                <w:spacing w:val="20"/>
                <w:sz w:val="20"/>
                <w:szCs w:val="20"/>
              </w:rPr>
            </w:pPr>
            <w:r>
              <w:rPr>
                <w:rStyle w:val="span"/>
                <w:rFonts w:ascii="Open Sans" w:eastAsia="Open Sans" w:hAnsi="Open Sans" w:cs="Open Sans"/>
                <w:b/>
                <w:bCs/>
                <w:caps/>
                <w:color w:val="2A68A0"/>
                <w:spacing w:val="20"/>
                <w:sz w:val="20"/>
                <w:szCs w:val="20"/>
              </w:rPr>
              <w:t>Bachelor of Commerce (B.Com)</w:t>
            </w:r>
            <w:r>
              <w:rPr>
                <w:rStyle w:val="documentskn-mlo4txt-bold"/>
                <w:rFonts w:ascii="Open Sans" w:eastAsia="Open Sans" w:hAnsi="Open Sans" w:cs="Open Sans"/>
                <w:b/>
                <w:bCs/>
                <w:caps/>
                <w:color w:val="2A68A0"/>
                <w:sz w:val="20"/>
                <w:szCs w:val="20"/>
              </w:rPr>
              <w:t xml:space="preserve"> </w:t>
            </w:r>
            <w:r>
              <w:rPr>
                <w:rStyle w:val="span"/>
                <w:rFonts w:ascii="Open Sans" w:eastAsia="Open Sans" w:hAnsi="Open Sans" w:cs="Open Sans"/>
                <w:b/>
                <w:bCs/>
                <w:caps/>
                <w:color w:val="2A68A0"/>
                <w:spacing w:val="20"/>
                <w:sz w:val="20"/>
                <w:szCs w:val="20"/>
              </w:rPr>
              <w:t>in</w:t>
            </w:r>
            <w:r>
              <w:rPr>
                <w:rStyle w:val="documentskn-mlo4txt-bold"/>
                <w:rFonts w:ascii="Open Sans" w:eastAsia="Open Sans" w:hAnsi="Open Sans" w:cs="Open Sans"/>
                <w:b/>
                <w:bCs/>
                <w:caps/>
                <w:color w:val="2A68A0"/>
                <w:sz w:val="20"/>
                <w:szCs w:val="20"/>
              </w:rPr>
              <w:t xml:space="preserve"> </w:t>
            </w:r>
            <w:r>
              <w:rPr>
                <w:rStyle w:val="span"/>
                <w:rFonts w:ascii="Open Sans" w:eastAsia="Open Sans" w:hAnsi="Open Sans" w:cs="Open Sans"/>
                <w:b/>
                <w:bCs/>
                <w:caps/>
                <w:color w:val="2A68A0"/>
                <w:spacing w:val="20"/>
                <w:sz w:val="20"/>
                <w:szCs w:val="20"/>
              </w:rPr>
              <w:t>Finance</w:t>
            </w:r>
            <w:r>
              <w:rPr>
                <w:rStyle w:val="documentskn-mlo4txt-bold"/>
                <w:rFonts w:ascii="Open Sans" w:eastAsia="Open Sans" w:hAnsi="Open Sans" w:cs="Open Sans"/>
                <w:b/>
                <w:bCs/>
                <w:caps/>
                <w:color w:val="2A68A0"/>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Shri Ram College of Commerce</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2008</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2A68A0"/>
                <w:spacing w:val="20"/>
                <w:sz w:val="20"/>
                <w:szCs w:val="20"/>
              </w:rPr>
            </w:pPr>
            <w:r>
              <w:rPr>
                <w:rStyle w:val="span"/>
                <w:rFonts w:ascii="Open Sans" w:eastAsia="Open Sans" w:hAnsi="Open Sans" w:cs="Open Sans"/>
                <w:b/>
                <w:bCs/>
                <w:caps/>
                <w:color w:val="2A68A0"/>
                <w:spacing w:val="20"/>
                <w:sz w:val="20"/>
                <w:szCs w:val="20"/>
              </w:rPr>
              <w:t>Higher Secondary</w:t>
            </w:r>
            <w:r>
              <w:rPr>
                <w:rStyle w:val="documentskn-mlo4txt-bold"/>
                <w:rFonts w:ascii="Open Sans" w:eastAsia="Open Sans" w:hAnsi="Open Sans" w:cs="Open Sans"/>
                <w:b/>
                <w:bCs/>
                <w:caps/>
                <w:color w:val="2A68A0"/>
                <w:sz w:val="20"/>
                <w:szCs w:val="20"/>
              </w:rPr>
              <w:t xml:space="preserve"> </w:t>
            </w:r>
            <w:r>
              <w:rPr>
                <w:rStyle w:val="span"/>
                <w:rFonts w:ascii="Open Sans" w:eastAsia="Open Sans" w:hAnsi="Open Sans" w:cs="Open Sans"/>
                <w:b/>
                <w:bCs/>
                <w:caps/>
                <w:color w:val="2A68A0"/>
                <w:spacing w:val="20"/>
                <w:sz w:val="20"/>
                <w:szCs w:val="20"/>
              </w:rPr>
              <w:t>in</w:t>
            </w:r>
            <w:r>
              <w:rPr>
                <w:rStyle w:val="documentskn-mlo4txt-bold"/>
                <w:rFonts w:ascii="Open Sans" w:eastAsia="Open Sans" w:hAnsi="Open Sans" w:cs="Open Sans"/>
                <w:b/>
                <w:bCs/>
                <w:caps/>
                <w:color w:val="2A68A0"/>
                <w:sz w:val="20"/>
                <w:szCs w:val="20"/>
              </w:rPr>
              <w:t xml:space="preserve"> </w:t>
            </w:r>
            <w:r>
              <w:rPr>
                <w:rStyle w:val="span"/>
                <w:rFonts w:ascii="Open Sans" w:eastAsia="Open Sans" w:hAnsi="Open Sans" w:cs="Open Sans"/>
                <w:b/>
                <w:bCs/>
                <w:caps/>
                <w:color w:val="2A68A0"/>
                <w:spacing w:val="20"/>
                <w:sz w:val="20"/>
                <w:szCs w:val="20"/>
              </w:rPr>
              <w:t>12th Standard</w:t>
            </w:r>
            <w:r>
              <w:rPr>
                <w:rStyle w:val="documentskn-mlo4txt-bold"/>
                <w:rFonts w:ascii="Open Sans" w:eastAsia="Open Sans" w:hAnsi="Open Sans" w:cs="Open Sans"/>
                <w:b/>
                <w:bCs/>
                <w:caps/>
                <w:color w:val="2A68A0"/>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Delhi Public School</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2006</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2A68A0"/>
                <w:spacing w:val="20"/>
                <w:sz w:val="20"/>
                <w:szCs w:val="20"/>
              </w:rPr>
            </w:pPr>
            <w:r>
              <w:rPr>
                <w:rStyle w:val="span"/>
                <w:rFonts w:ascii="Open Sans" w:eastAsia="Open Sans" w:hAnsi="Open Sans" w:cs="Open Sans"/>
                <w:b/>
                <w:bCs/>
                <w:caps/>
                <w:color w:val="2A68A0"/>
                <w:spacing w:val="20"/>
                <w:sz w:val="20"/>
                <w:szCs w:val="20"/>
              </w:rPr>
              <w:t>Secondary</w:t>
            </w:r>
            <w:r>
              <w:rPr>
                <w:rStyle w:val="documentskn-mlo4txt-bold"/>
                <w:rFonts w:ascii="Open Sans" w:eastAsia="Open Sans" w:hAnsi="Open Sans" w:cs="Open Sans"/>
                <w:b/>
                <w:bCs/>
                <w:caps/>
                <w:color w:val="2A68A0"/>
                <w:sz w:val="20"/>
                <w:szCs w:val="20"/>
              </w:rPr>
              <w:t xml:space="preserve"> </w:t>
            </w:r>
            <w:r>
              <w:rPr>
                <w:rStyle w:val="span"/>
                <w:rFonts w:ascii="Open Sans" w:eastAsia="Open Sans" w:hAnsi="Open Sans" w:cs="Open Sans"/>
                <w:b/>
                <w:bCs/>
                <w:caps/>
                <w:color w:val="2A68A0"/>
                <w:spacing w:val="20"/>
                <w:sz w:val="20"/>
                <w:szCs w:val="20"/>
              </w:rPr>
              <w:t>in</w:t>
            </w:r>
            <w:r>
              <w:rPr>
                <w:rStyle w:val="documentskn-mlo4txt-bold"/>
                <w:rFonts w:ascii="Open Sans" w:eastAsia="Open Sans" w:hAnsi="Open Sans" w:cs="Open Sans"/>
                <w:b/>
                <w:bCs/>
                <w:caps/>
                <w:color w:val="2A68A0"/>
                <w:sz w:val="20"/>
                <w:szCs w:val="20"/>
              </w:rPr>
              <w:t xml:space="preserve"> </w:t>
            </w:r>
            <w:r>
              <w:rPr>
                <w:rStyle w:val="span"/>
                <w:rFonts w:ascii="Open Sans" w:eastAsia="Open Sans" w:hAnsi="Open Sans" w:cs="Open Sans"/>
                <w:b/>
                <w:bCs/>
                <w:caps/>
                <w:color w:val="2A68A0"/>
                <w:spacing w:val="20"/>
                <w:sz w:val="20"/>
                <w:szCs w:val="20"/>
              </w:rPr>
              <w:t>10th Standard</w:t>
            </w:r>
            <w:r>
              <w:rPr>
                <w:rStyle w:val="documentskn-mlo4txt-bold"/>
                <w:rFonts w:ascii="Open Sans" w:eastAsia="Open Sans" w:hAnsi="Open Sans" w:cs="Open Sans"/>
                <w:b/>
                <w:bCs/>
                <w:caps/>
                <w:color w:val="2A68A0"/>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Delhi Public School</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A68A0"/>
        </w:rPr>
        <w:t>   </w:t>
      </w:r>
      <w:r>
        <w:rPr>
          <w:rStyle w:val="span"/>
          <w:rFonts w:ascii="Barlow Condensed" w:eastAsia="Barlow Condensed" w:hAnsi="Barlow Condensed" w:cs="Barlow Condensed"/>
          <w:color w:val="FFFFFF"/>
          <w:shd w:val="clear" w:color="auto" w:fill="2A68A0"/>
        </w:rPr>
        <w:t>Certifications</w:t>
      </w:r>
      <w:r>
        <w:rPr>
          <w:rStyle w:val="documentheadingpadding"/>
          <w:color w:val="FFFFFF"/>
          <w:shd w:val="clear" w:color="auto" w:fill="2A68A0"/>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8"/>
        <w:gridCol w:w="5722"/>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Chartered Financial Analyst (CFA) Level II</w:t>
            </w:r>
          </w:p>
        </w:tc>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NISM Series XV – Research Analyst Certification</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A68A0"/>
        </w:rPr>
        <w:t>   </w:t>
      </w:r>
      <w:r>
        <w:rPr>
          <w:rStyle w:val="span"/>
          <w:rFonts w:ascii="Barlow Condensed" w:eastAsia="Barlow Condensed" w:hAnsi="Barlow Condensed" w:cs="Barlow Condensed"/>
          <w:color w:val="FFFFFF"/>
          <w:shd w:val="clear" w:color="auto" w:fill="2A68A0"/>
        </w:rPr>
        <w:t>Projects</w:t>
      </w:r>
      <w:r>
        <w:rPr>
          <w:rStyle w:val="documentheadingpadding"/>
          <w:color w:val="FFFFFF"/>
          <w:shd w:val="clear" w:color="auto" w:fill="2A68A0"/>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Led valuation and execution support for acquisition of a mid-sized healthcare company by a listed corporate. Managed internal sector coverage project analyzing valuation trends across Indian infrastructure companies.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A68A0"/>
        </w:rPr>
        <w:t>   </w:t>
      </w:r>
      <w:r>
        <w:rPr>
          <w:rStyle w:val="span"/>
          <w:rFonts w:ascii="Barlow Condensed" w:eastAsia="Barlow Condensed" w:hAnsi="Barlow Condensed" w:cs="Barlow Condensed"/>
          <w:color w:val="FFFFFF"/>
          <w:shd w:val="clear" w:color="auto" w:fill="2A68A0"/>
        </w:rPr>
        <w:t>Industry</w:t>
      </w:r>
      <w:r>
        <w:rPr>
          <w:rStyle w:val="documentheadingpadding"/>
          <w:color w:val="FFFFFF"/>
          <w:shd w:val="clear" w:color="auto" w:fill="2A68A0"/>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Investment Banking and Financial Services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A68A0"/>
        </w:rPr>
        <w:t>   </w:t>
      </w:r>
      <w:r>
        <w:rPr>
          <w:rStyle w:val="span"/>
          <w:rFonts w:ascii="Barlow Condensed" w:eastAsia="Barlow Condensed" w:hAnsi="Barlow Condensed" w:cs="Barlow Condensed"/>
          <w:color w:val="FFFFFF"/>
          <w:shd w:val="clear" w:color="auto" w:fill="2A68A0"/>
        </w:rPr>
        <w:t>Accomplishments</w:t>
      </w:r>
      <w:r>
        <w:rPr>
          <w:rStyle w:val="documentheadingpadding"/>
          <w:color w:val="FFFFFF"/>
          <w:shd w:val="clear" w:color="auto" w:fill="2A68A0"/>
        </w:rPr>
        <w:t>   </w:t>
      </w:r>
    </w:p>
    <w:p>
      <w:pPr>
        <w:pStyle w:val="documentskn-mlo4ulli"/>
        <w:numPr>
          <w:ilvl w:val="0"/>
          <w:numId w:val="15"/>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Successfully led closure of three M&amp;A transactions at Vertex Capital Partners.</w:t>
      </w:r>
    </w:p>
    <w:p>
      <w:pPr>
        <w:pStyle w:val="documentskn-mlo4ulli"/>
        <w:numPr>
          <w:ilvl w:val="0"/>
          <w:numId w:val="15"/>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strong client management during multi-deal execution at Crestview Financial Advisors.</w:t>
      </w:r>
    </w:p>
    <w:p>
      <w:pPr>
        <w:pStyle w:val="documentskn-mlo4ullinth-last-child1"/>
        <w:numPr>
          <w:ilvl w:val="0"/>
          <w:numId w:val="15"/>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Delivered high-quality valuation models adopted as internal benchmarks by the team.</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A68A0"/>
        </w:rPr>
        <w:t>   </w:t>
      </w:r>
      <w:r>
        <w:rPr>
          <w:rStyle w:val="span"/>
          <w:rFonts w:ascii="Barlow Condensed" w:eastAsia="Barlow Condensed" w:hAnsi="Barlow Condensed" w:cs="Barlow Condensed"/>
          <w:color w:val="FFFFFF"/>
          <w:shd w:val="clear" w:color="auto" w:fill="2A68A0"/>
        </w:rPr>
        <w:t>References</w:t>
      </w:r>
      <w:r>
        <w:rPr>
          <w:rStyle w:val="documentheadingpadding"/>
          <w:color w:val="FFFFFF"/>
          <w:shd w:val="clear" w:color="auto" w:fill="2A68A0"/>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52B797B4-687D-4B1C-A95B-D0265AB5F39F}"/>
    <w:embedBold r:id="rId2" w:fontKey="{75507013-8F94-4378-8D39-821917C62E5B}"/>
  </w:font>
  <w:font w:name="Abel">
    <w:charset w:val="00"/>
    <w:family w:val="auto"/>
    <w:pitch w:val="default"/>
    <w:embedRegular r:id="rId3" w:fontKey="{22FC45D6-3AF7-4C32-ACDB-9C1865788669}"/>
  </w:font>
  <w:font w:name="Barlow Condensed">
    <w:charset w:val="00"/>
    <w:family w:val="auto"/>
    <w:pitch w:val="default"/>
    <w:embedRegular r:id="rId4" w:fontKey="{68DCE05F-08D1-4527-826D-F02BBBF26A0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2A68A0"/>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2A68A0"/>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