
<file path=[Content_Types].xml><?xml version="1.0" encoding="utf-8"?>
<Types xmlns="http://schemas.openxmlformats.org/package/2006/content-types">
  <Default Extension="emf" ContentType="image/x-emf"/>
  <Default Extension="odttf" ContentType="application/vnd.openxmlformats-officedocument.obfuscatedFont"/>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NET 23.2.0 -->
  <w:body>
    <w:tbl>
      <w:tblPr>
        <w:tblStyle w:val="skn-mly1pagesize"/>
        <w:tblW w:w="0" w:type="auto"/>
        <w:tblCellSpacing w:w="0" w:type="dxa"/>
        <w:tblLayout w:type="fixed"/>
        <w:tblLook w:val="05E0"/>
      </w:tblPr>
      <w:tblGrid>
        <w:gridCol w:w="7720"/>
        <w:gridCol w:w="4520"/>
      </w:tblGrid>
      <w:tr>
        <w:tblPrEx>
          <w:tblW w:w="0" w:type="auto"/>
          <w:tblCellSpacing w:w="0" w:type="dxa"/>
          <w:tblLayout w:type="fixed"/>
          <w:tblLook w:val="05E0"/>
        </w:tblPrEx>
        <w:trPr>
          <w:tblCellSpacing w:w="0" w:type="dxa"/>
        </w:trPr>
        <w:tc>
          <w:tcPr>
            <w:tcW w:w="7720" w:type="dxa"/>
            <w:shd w:val="clear" w:color="auto" w:fill="ECF5F8"/>
            <w:tcMar>
              <w:top w:w="600" w:type="dxa"/>
              <w:left w:w="0" w:type="dxa"/>
              <w:bottom w:w="600" w:type="dxa"/>
              <w:right w:w="0" w:type="dxa"/>
            </w:tcMar>
            <w:vAlign w:val="center"/>
            <w:hideMark/>
          </w:tcPr>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top-sectionleft-box"/>
                <w:rFonts w:ascii="Poppins" w:eastAsia="Poppins" w:hAnsi="Poppins" w:cs="Poppins"/>
                <w:b/>
                <w:bCs/>
                <w:caps/>
                <w:color w:val="343B30"/>
                <w:spacing w:val="10"/>
                <w:sz w:val="56"/>
                <w:szCs w:val="56"/>
                <w:shd w:val="clear" w:color="auto" w:fill="auto"/>
              </w:rPr>
            </w:pPr>
            <w:r>
              <w:rPr>
                <w:rStyle w:val="skn-mly1top-sectionleft-box"/>
                <w:rFonts w:ascii="Poppins" w:eastAsia="Poppins" w:hAnsi="Poppins" w:cs="Poppins"/>
                <w:b/>
                <w:bCs/>
                <w:caps/>
                <w:color w:val="343B30"/>
                <w:spacing w:val="10"/>
                <w:sz w:val="56"/>
                <w:szCs w:val="56"/>
                <w:shd w:val="clear" w:color="auto" w:fill="auto"/>
              </w:rPr>
              <w:t>Ankit</w:t>
            </w:r>
            <w:r>
              <w:pict>
                <v:rect id="_x0000_s1025" style="width:386pt;height:762pt;margin-top:0;margin-left:0;mso-position-horizontal-relative:page;mso-position-vertical-relative:page;position:absolute;z-index:-251658240" o:allowincell="f" fillcolor="#ecf5f8" stroked="f">
                  <v:path strokeok="f"/>
                </v:rect>
              </w:pic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top-sectionleft-box"/>
                <w:rFonts w:ascii="Poppins" w:eastAsia="Poppins" w:hAnsi="Poppins" w:cs="Poppins"/>
                <w:b/>
                <w:bCs/>
                <w:caps/>
                <w:color w:val="343B30"/>
                <w:spacing w:val="10"/>
                <w:sz w:val="56"/>
                <w:szCs w:val="56"/>
                <w:shd w:val="clear" w:color="auto" w:fill="auto"/>
              </w:rPr>
            </w:pPr>
            <w:r>
              <w:rPr>
                <w:rStyle w:val="skn-mly1top-sectionleft-box"/>
                <w:rFonts w:ascii="Poppins" w:eastAsia="Poppins" w:hAnsi="Poppins" w:cs="Poppins"/>
                <w:b/>
                <w:bCs/>
                <w:caps/>
                <w:color w:val="343B30"/>
                <w:spacing w:val="10"/>
                <w:sz w:val="56"/>
                <w:szCs w:val="56"/>
                <w:shd w:val="clear" w:color="auto" w:fill="auto"/>
              </w:rPr>
              <w:t>Sharma</w:t>
            </w:r>
          </w:p>
          <w:p>
            <w:pPr>
              <w:pStyle w:val="skn-mly1prof-title"/>
              <w:pBdr>
                <w:top w:val="none" w:sz="0" w:space="0" w:color="auto"/>
                <w:left w:val="none" w:sz="0" w:space="0" w:color="auto"/>
                <w:bottom w:val="none" w:sz="0" w:space="0" w:color="auto"/>
                <w:right w:val="none" w:sz="0" w:space="0" w:color="auto"/>
              </w:pBdr>
              <w:spacing w:before="40" w:after="0" w:line="360" w:lineRule="exact"/>
              <w:ind w:left="600" w:right="600"/>
              <w:rPr>
                <w:rStyle w:val="skn-mly1top-sectionleft-box"/>
                <w:rFonts w:ascii="Poppins" w:eastAsia="Poppins" w:hAnsi="Poppins" w:cs="Poppins"/>
                <w:b w:val="0"/>
                <w:bCs w:val="0"/>
                <w:caps/>
                <w:color w:val="343B30"/>
                <w:spacing w:val="20"/>
                <w:sz w:val="28"/>
                <w:szCs w:val="28"/>
                <w:shd w:val="clear" w:color="auto" w:fill="auto"/>
              </w:rPr>
            </w:pPr>
            <w:r>
              <w:rPr>
                <w:rStyle w:val="skn-mly1anyCharacter"/>
                <w:rFonts w:ascii="Poppins" w:eastAsia="Poppins" w:hAnsi="Poppins" w:cs="Poppins"/>
                <w:b w:val="0"/>
                <w:bCs w:val="0"/>
                <w:caps/>
                <w:color w:val="343B30"/>
              </w:rPr>
              <w:t>Investment Banking Associate</w:t>
            </w:r>
          </w:p>
          <w:p>
            <w:pPr>
              <w:pStyle w:val="skn-mly1any"/>
              <w:pBdr>
                <w:top w:val="none" w:sz="0" w:space="0" w:color="auto"/>
                <w:left w:val="none" w:sz="0" w:space="0" w:color="auto"/>
                <w:bottom w:val="none" w:sz="0" w:space="0" w:color="auto"/>
                <w:right w:val="none" w:sz="0" w:space="0" w:color="auto"/>
              </w:pBdr>
              <w:spacing w:before="0" w:after="0" w:line="260" w:lineRule="exact"/>
              <w:ind w:left="600" w:right="600"/>
              <w:rPr>
                <w:rStyle w:val="skn-mly1top-sectionleft-box"/>
                <w:rFonts w:ascii="Poppins" w:eastAsia="Poppins" w:hAnsi="Poppins" w:cs="Poppins"/>
                <w:b/>
                <w:bCs/>
                <w:caps/>
                <w:color w:val="343B30"/>
                <w:spacing w:val="10"/>
                <w:sz w:val="2"/>
                <w:szCs w:val="2"/>
                <w:shd w:val="clear" w:color="auto" w:fill="auto"/>
              </w:rPr>
            </w:pPr>
            <w:r>
              <w:rPr>
                <w:rStyle w:val="skn-mly1top-sectionleft-box"/>
                <w:rFonts w:ascii="Poppins" w:eastAsia="Poppins" w:hAnsi="Poppins" w:cs="Poppins"/>
                <w:b/>
                <w:bCs/>
                <w:caps/>
                <w:color w:val="343B30"/>
                <w:spacing w:val="10"/>
                <w:sz w:val="2"/>
                <w:szCs w:val="2"/>
                <w:shd w:val="clear" w:color="auto" w:fill="auto"/>
              </w:rPr>
              <w:t> </w:t>
            </w:r>
          </w:p>
          <w:p>
            <w:pPr>
              <w:pStyle w:val="skn-mly1name"/>
              <w:spacing w:after="0" w:line="300" w:lineRule="exact"/>
              <w:ind w:left="600" w:right="600"/>
              <w:rPr>
                <w:rStyle w:val="skn-mly1nameCharacter"/>
                <w:b/>
                <w:bCs/>
                <w:caps/>
                <w:color w:val="343B30"/>
                <w:sz w:val="2"/>
                <w:szCs w:val="2"/>
              </w:rPr>
            </w:pPr>
            <w:r>
              <w:pict>
                <v:line id="_x0000_s1026" style="mso-position-horizontal-relative:margin;position:absolute;z-index:251659264" from="30pt,0" to="62pt,0" stroked="t" strokecolor="#595959" strokeweight="1pt"/>
              </w:pict>
            </w:r>
          </w:p>
          <w:tbl>
            <w:tblPr>
              <w:tblW w:w="0" w:type="auto"/>
              <w:tblInd w:w="600" w:type="dxa"/>
              <w:tblLayout w:type="fixed"/>
              <w:tblCellMar>
                <w:left w:w="108" w:type="dxa"/>
                <w:right w:w="108" w:type="dxa"/>
              </w:tblCellMar>
            </w:tblPr>
            <w:tblGrid>
              <w:gridCol w:w="3120"/>
              <w:gridCol w:w="236"/>
              <w:gridCol w:w="3260"/>
            </w:tblGrid>
            <w:tr>
              <w:tblPrEx>
                <w:tblW w:w="0" w:type="auto"/>
                <w:tblInd w:w="600" w:type="dxa"/>
                <w:tblLayout w:type="fixed"/>
                <w:tblCellMar>
                  <w:left w:w="108" w:type="dxa"/>
                  <w:right w:w="108" w:type="dxa"/>
                </w:tblCellMar>
              </w:tblPrEx>
              <w:tc>
                <w:tcPr>
                  <w:tcW w:w="3120" w:type="dxa"/>
                  <w:tcMar>
                    <w:top w:w="0" w:type="dxa"/>
                    <w:left w:w="0" w:type="dxa"/>
                    <w:bottom w:w="200" w:type="dxa"/>
                    <w:right w:w="0" w:type="dxa"/>
                  </w:tcMar>
                  <w:vAlign w:val="center"/>
                  <w:hideMark/>
                </w:tcPr>
                <w:tbl>
                  <w:tblPr>
                    <w:tblStyle w:val="skn-mly1anyTable"/>
                    <w:tblW w:w="0" w:type="auto"/>
                    <w:tblCellSpacing w:w="0" w:type="dxa"/>
                    <w:tblInd w:w="0" w:type="dxa"/>
                    <w:tblLayout w:type="fixed"/>
                    <w:tblCellMar>
                      <w:top w:w="0" w:type="dxa"/>
                      <w:left w:w="0" w:type="dxa"/>
                      <w:bottom w:w="0" w:type="dxa"/>
                      <w:right w:w="0" w:type="dxa"/>
                    </w:tblCellMar>
                    <w:tblLook w:val="05E0"/>
                  </w:tblPr>
                  <w:tblGrid>
                    <w:gridCol w:w="530"/>
                    <w:gridCol w:w="259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0" w:type="dxa"/>
                        <w:tcMar>
                          <w:top w:w="0" w:type="dxa"/>
                          <w:left w:w="0" w:type="dxa"/>
                          <w:bottom w:w="0" w:type="dxa"/>
                          <w:right w:w="0" w:type="dxa"/>
                        </w:tcMar>
                        <w:vAlign w:val="center"/>
                        <w:hideMark/>
                      </w:tcPr>
                      <w:p>
                        <w:pPr>
                          <w:spacing w:line="240" w:lineRule="atLeast"/>
                          <w:ind w:left="0" w:right="0"/>
                          <w:rPr>
                            <w:rStyle w:val="skn-mly1top-sectionleft-box"/>
                            <w:rFonts w:ascii="Open Sans" w:eastAsia="Open Sans" w:hAnsi="Open Sans" w:cs="Open Sans"/>
                            <w:color w:val="343B30"/>
                            <w:sz w:val="20"/>
                            <w:szCs w:val="20"/>
                            <w:shd w:val="clear" w:color="auto" w:fill="auto"/>
                          </w:rPr>
                        </w:pPr>
                        <w:r>
                          <w:rPr>
                            <w:rStyle w:val="skn-mly1top-sectionleft-box"/>
                            <w:rFonts w:ascii="Open Sans" w:eastAsia="Open Sans" w:hAnsi="Open Sans" w:cs="Open Sans"/>
                            <w:color w:val="343B30"/>
                            <w:sz w:val="20"/>
                            <w:szCs w:val="20"/>
                            <w:shd w:val="clear" w:color="auto" w:fill="auto"/>
                          </w:rPr>
                          <w:drawing>
                            <wp:inline>
                              <wp:extent cx="241003" cy="241137"/>
                              <wp:docPr id="10000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4"/>
                                      <a:stretch>
                                        <a:fillRect/>
                                      </a:stretch>
                                    </pic:blipFill>
                                    <pic:spPr>
                                      <a:xfrm>
                                        <a:off x="0" y="0"/>
                                        <a:ext cx="241003" cy="241137"/>
                                      </a:xfrm>
                                      <a:prstGeom prst="rect">
                                        <a:avLst/>
                                      </a:prstGeom>
                                    </pic:spPr>
                                  </pic:pic>
                                </a:graphicData>
                              </a:graphic>
                            </wp:inline>
                          </w:drawing>
                        </w:r>
                      </w:p>
                    </w:tc>
                    <w:tc>
                      <w:tcPr>
                        <w:tcW w:w="2590" w:type="dxa"/>
                        <w:tcMar>
                          <w:top w:w="0" w:type="dxa"/>
                          <w:left w:w="0" w:type="dxa"/>
                          <w:bottom w:w="0" w:type="dxa"/>
                          <w:right w:w="0" w:type="dxa"/>
                        </w:tcMar>
                        <w:vAlign w:val="center"/>
                        <w:hideMark/>
                      </w:tcPr>
                      <w:p>
                        <w:pPr>
                          <w:spacing w:line="240" w:lineRule="atLeast"/>
                          <w:ind w:left="0" w:right="0"/>
                          <w:rPr>
                            <w:rStyle w:val="adrs-field-tablecircle"/>
                            <w:rFonts w:ascii="Open Sans" w:eastAsia="Open Sans" w:hAnsi="Open Sans" w:cs="Open Sans"/>
                            <w:color w:val="343B30"/>
                            <w:sz w:val="20"/>
                            <w:szCs w:val="20"/>
                          </w:rPr>
                        </w:pPr>
                        <w:r>
                          <w:rPr>
                            <w:rStyle w:val="skn-mly1anyCharacter"/>
                            <w:rFonts w:ascii="Open Sans" w:eastAsia="Open Sans" w:hAnsi="Open Sans" w:cs="Open Sans"/>
                            <w:color w:val="343B30"/>
                            <w:sz w:val="20"/>
                            <w:szCs w:val="20"/>
                          </w:rPr>
                          <w:t>ankit.sharma@example.com</w:t>
                        </w:r>
                      </w:p>
                    </w:tc>
                  </w:tr>
                </w:tbl>
                <w:p>
                  <w:pPr>
                    <w:rPr>
                      <w:rStyle w:val="skn-mly1top-sectionleft-box"/>
                      <w:rFonts w:ascii="Open Sans" w:eastAsia="Open Sans" w:hAnsi="Open Sans" w:cs="Open Sans"/>
                      <w:color w:val="343B30"/>
                      <w:sz w:val="20"/>
                      <w:szCs w:val="20"/>
                      <w:shd w:val="clear" w:color="auto" w:fill="auto"/>
                    </w:rPr>
                  </w:pPr>
                </w:p>
              </w:tc>
              <w:tc>
                <w:tcPr>
                  <w:tcW w:w="140" w:type="dxa"/>
                </w:tcPr>
                <w:p/>
              </w:tc>
              <w:tc>
                <w:tcPr>
                  <w:tcW w:w="3260" w:type="dxa"/>
                  <w:tcMar>
                    <w:top w:w="0" w:type="dxa"/>
                    <w:left w:w="0" w:type="dxa"/>
                    <w:bottom w:w="200" w:type="dxa"/>
                    <w:right w:w="0" w:type="dxa"/>
                  </w:tcMar>
                  <w:vAlign w:val="center"/>
                  <w:hideMark/>
                </w:tcPr>
                <w:tbl>
                  <w:tblPr>
                    <w:tblStyle w:val="skn-mly1anyTable"/>
                    <w:tblW w:w="0" w:type="auto"/>
                    <w:tblCellSpacing w:w="0" w:type="dxa"/>
                    <w:tblInd w:w="0" w:type="dxa"/>
                    <w:tblLayout w:type="fixed"/>
                    <w:tblCellMar>
                      <w:top w:w="0" w:type="dxa"/>
                      <w:left w:w="0" w:type="dxa"/>
                      <w:bottom w:w="0" w:type="dxa"/>
                      <w:right w:w="0" w:type="dxa"/>
                    </w:tblCellMar>
                    <w:tblLook w:val="05E0"/>
                  </w:tblPr>
                  <w:tblGrid>
                    <w:gridCol w:w="530"/>
                    <w:gridCol w:w="273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0" w:type="dxa"/>
                        <w:tcMar>
                          <w:top w:w="0" w:type="dxa"/>
                          <w:left w:w="0" w:type="dxa"/>
                          <w:bottom w:w="0" w:type="dxa"/>
                          <w:right w:w="0" w:type="dxa"/>
                        </w:tcMar>
                        <w:vAlign w:val="center"/>
                        <w:hideMark/>
                      </w:tcPr>
                      <w:p>
                        <w:pPr>
                          <w:spacing w:line="240" w:lineRule="atLeast"/>
                          <w:ind w:left="0" w:right="0"/>
                          <w:rPr>
                            <w:rStyle w:val="cntc-secaddressadrs-fieldtable-cell"/>
                            <w:rFonts w:ascii="Open Sans" w:eastAsia="Open Sans" w:hAnsi="Open Sans" w:cs="Open Sans"/>
                            <w:color w:val="343B30"/>
                            <w:sz w:val="20"/>
                            <w:szCs w:val="20"/>
                          </w:rPr>
                        </w:pPr>
                        <w:r>
                          <w:rPr>
                            <w:rStyle w:val="cntc-secaddressadrs-fieldtable-cell"/>
                            <w:rFonts w:ascii="Open Sans" w:eastAsia="Open Sans" w:hAnsi="Open Sans" w:cs="Open Sans"/>
                            <w:color w:val="343B30"/>
                            <w:sz w:val="20"/>
                            <w:szCs w:val="20"/>
                          </w:rPr>
                          <w:drawing>
                            <wp:inline>
                              <wp:extent cx="241003" cy="241137"/>
                              <wp:docPr id="10000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
                                      <pic:cNvPicPr>
                                        <a:picLocks noChangeAspect="1"/>
                                      </pic:cNvPicPr>
                                    </pic:nvPicPr>
                                    <pic:blipFill>
                                      <a:blip xmlns:r="http://schemas.openxmlformats.org/officeDocument/2006/relationships" r:embed="rId5"/>
                                      <a:stretch>
                                        <a:fillRect/>
                                      </a:stretch>
                                    </pic:blipFill>
                                    <pic:spPr>
                                      <a:xfrm>
                                        <a:off x="0" y="0"/>
                                        <a:ext cx="241003" cy="241137"/>
                                      </a:xfrm>
                                      <a:prstGeom prst="rect">
                                        <a:avLst/>
                                      </a:prstGeom>
                                    </pic:spPr>
                                  </pic:pic>
                                </a:graphicData>
                              </a:graphic>
                            </wp:inline>
                          </w:drawing>
                        </w:r>
                      </w:p>
                    </w:tc>
                    <w:tc>
                      <w:tcPr>
                        <w:tcW w:w="2730" w:type="dxa"/>
                        <w:tcMar>
                          <w:top w:w="0" w:type="dxa"/>
                          <w:left w:w="0" w:type="dxa"/>
                          <w:bottom w:w="0" w:type="dxa"/>
                          <w:right w:w="0" w:type="dxa"/>
                        </w:tcMar>
                        <w:vAlign w:val="center"/>
                        <w:hideMark/>
                      </w:tcPr>
                      <w:p>
                        <w:pPr>
                          <w:spacing w:line="240" w:lineRule="atLeast"/>
                          <w:ind w:left="0" w:right="0"/>
                          <w:rPr>
                            <w:rStyle w:val="adrs-field-tablecircle"/>
                            <w:rFonts w:ascii="Open Sans" w:eastAsia="Open Sans" w:hAnsi="Open Sans" w:cs="Open Sans"/>
                            <w:color w:val="343B30"/>
                            <w:sz w:val="20"/>
                            <w:szCs w:val="20"/>
                          </w:rPr>
                        </w:pPr>
                        <w:r>
                          <w:rPr>
                            <w:rStyle w:val="skn-mly1anyCharacter"/>
                            <w:rFonts w:ascii="Open Sans" w:eastAsia="Open Sans" w:hAnsi="Open Sans" w:cs="Open Sans"/>
                            <w:color w:val="343B30"/>
                            <w:sz w:val="20"/>
                            <w:szCs w:val="20"/>
                          </w:rPr>
                          <w:t>+91 98765 43210</w:t>
                        </w:r>
                      </w:p>
                    </w:tc>
                  </w:tr>
                </w:tbl>
                <w:p>
                  <w:pPr>
                    <w:rPr>
                      <w:rStyle w:val="cntc-secaddressadrs-fieldtable-cell"/>
                      <w:rFonts w:ascii="Open Sans" w:eastAsia="Open Sans" w:hAnsi="Open Sans" w:cs="Open Sans"/>
                      <w:color w:val="343B30"/>
                      <w:sz w:val="20"/>
                      <w:szCs w:val="20"/>
                    </w:rPr>
                  </w:pPr>
                </w:p>
              </w:tc>
            </w:tr>
            <w:tr>
              <w:tblPrEx>
                <w:tblW w:w="0" w:type="auto"/>
                <w:tblInd w:w="600" w:type="dxa"/>
                <w:tblLayout w:type="fixed"/>
                <w:tblCellMar>
                  <w:left w:w="108" w:type="dxa"/>
                  <w:right w:w="108" w:type="dxa"/>
                </w:tblCellMar>
              </w:tblPrEx>
              <w:tc>
                <w:tcPr>
                  <w:tcW w:w="3120" w:type="dxa"/>
                  <w:tcMar>
                    <w:top w:w="0" w:type="dxa"/>
                    <w:left w:w="0" w:type="dxa"/>
                    <w:bottom w:w="0" w:type="dxa"/>
                    <w:right w:w="0" w:type="dxa"/>
                  </w:tcMar>
                  <w:vAlign w:val="center"/>
                  <w:hideMark/>
                </w:tcPr>
                <w:tbl>
                  <w:tblPr>
                    <w:tblStyle w:val="skn-mly1anyTable"/>
                    <w:tblW w:w="0" w:type="auto"/>
                    <w:tblCellSpacing w:w="0" w:type="dxa"/>
                    <w:tblInd w:w="0" w:type="dxa"/>
                    <w:tblLayout w:type="fixed"/>
                    <w:tblCellMar>
                      <w:top w:w="0" w:type="dxa"/>
                      <w:left w:w="0" w:type="dxa"/>
                      <w:bottom w:w="0" w:type="dxa"/>
                      <w:right w:w="0" w:type="dxa"/>
                    </w:tblCellMar>
                    <w:tblLook w:val="05E0"/>
                  </w:tblPr>
                  <w:tblGrid>
                    <w:gridCol w:w="530"/>
                    <w:gridCol w:w="259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0" w:type="dxa"/>
                        <w:tcMar>
                          <w:top w:w="0" w:type="dxa"/>
                          <w:left w:w="0" w:type="dxa"/>
                          <w:bottom w:w="0" w:type="dxa"/>
                          <w:right w:w="0" w:type="dxa"/>
                        </w:tcMar>
                        <w:vAlign w:val="center"/>
                        <w:hideMark/>
                      </w:tcPr>
                      <w:p>
                        <w:pPr>
                          <w:spacing w:line="240" w:lineRule="atLeast"/>
                          <w:ind w:left="0" w:right="0"/>
                          <w:rPr>
                            <w:rStyle w:val="cntc-secaddressadrs-fieldtable-cell"/>
                            <w:rFonts w:ascii="Open Sans" w:eastAsia="Open Sans" w:hAnsi="Open Sans" w:cs="Open Sans"/>
                            <w:color w:val="343B30"/>
                            <w:sz w:val="20"/>
                            <w:szCs w:val="20"/>
                          </w:rPr>
                        </w:pPr>
                        <w:r>
                          <w:rPr>
                            <w:rStyle w:val="cntc-secaddressadrs-fieldtable-cell"/>
                            <w:rFonts w:ascii="Open Sans" w:eastAsia="Open Sans" w:hAnsi="Open Sans" w:cs="Open Sans"/>
                            <w:color w:val="343B30"/>
                            <w:sz w:val="20"/>
                            <w:szCs w:val="20"/>
                          </w:rPr>
                          <w:drawing>
                            <wp:inline>
                              <wp:extent cx="241003" cy="241137"/>
                              <wp:docPr id="10000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
                                      <pic:cNvPicPr>
                                        <a:picLocks noChangeAspect="1"/>
                                      </pic:cNvPicPr>
                                    </pic:nvPicPr>
                                    <pic:blipFill>
                                      <a:blip xmlns:r="http://schemas.openxmlformats.org/officeDocument/2006/relationships" r:embed="rId6"/>
                                      <a:stretch>
                                        <a:fillRect/>
                                      </a:stretch>
                                    </pic:blipFill>
                                    <pic:spPr>
                                      <a:xfrm>
                                        <a:off x="0" y="0"/>
                                        <a:ext cx="241003" cy="241137"/>
                                      </a:xfrm>
                                      <a:prstGeom prst="rect">
                                        <a:avLst/>
                                      </a:prstGeom>
                                    </pic:spPr>
                                  </pic:pic>
                                </a:graphicData>
                              </a:graphic>
                            </wp:inline>
                          </w:drawing>
                        </w:r>
                      </w:p>
                    </w:tc>
                    <w:tc>
                      <w:tcPr>
                        <w:tcW w:w="2590" w:type="dxa"/>
                        <w:tcMar>
                          <w:top w:w="0" w:type="dxa"/>
                          <w:left w:w="0" w:type="dxa"/>
                          <w:bottom w:w="0" w:type="dxa"/>
                          <w:right w:w="0" w:type="dxa"/>
                        </w:tcMar>
                        <w:vAlign w:val="center"/>
                        <w:hideMark/>
                      </w:tcPr>
                      <w:p>
                        <w:pPr>
                          <w:spacing w:line="240" w:lineRule="atLeast"/>
                          <w:ind w:left="0" w:right="0"/>
                          <w:rPr>
                            <w:rStyle w:val="adrs-field-tablecircle"/>
                            <w:rFonts w:ascii="Open Sans" w:eastAsia="Open Sans" w:hAnsi="Open Sans" w:cs="Open Sans"/>
                            <w:color w:val="343B30"/>
                            <w:sz w:val="20"/>
                            <w:szCs w:val="20"/>
                          </w:rPr>
                        </w:pPr>
                        <w:r>
                          <w:rPr>
                            <w:rStyle w:val="skn-mly1anyCharacter"/>
                            <w:rFonts w:ascii="Open Sans" w:eastAsia="Open Sans" w:hAnsi="Open Sans" w:cs="Open Sans"/>
                            <w:color w:val="343B30"/>
                            <w:sz w:val="20"/>
                            <w:szCs w:val="20"/>
                          </w:rPr>
                          <w:t>Mumbai</w:t>
                        </w:r>
                        <w:r>
                          <w:rPr>
                            <w:rStyle w:val="skn-mly1anyCharacter"/>
                            <w:rFonts w:ascii="Open Sans" w:eastAsia="Open Sans" w:hAnsi="Open Sans" w:cs="Open Sans"/>
                            <w:color w:val="343B30"/>
                            <w:sz w:val="20"/>
                            <w:szCs w:val="20"/>
                          </w:rPr>
                          <w:t xml:space="preserve">, </w:t>
                        </w:r>
                        <w:r>
                          <w:rPr>
                            <w:rStyle w:val="skn-mly1anyCharacter"/>
                            <w:rFonts w:ascii="Open Sans" w:eastAsia="Open Sans" w:hAnsi="Open Sans" w:cs="Open Sans"/>
                            <w:color w:val="343B30"/>
                            <w:sz w:val="20"/>
                            <w:szCs w:val="20"/>
                          </w:rPr>
                          <w:t>Maharashtra</w:t>
                        </w:r>
                        <w:r>
                          <w:rPr>
                            <w:rStyle w:val="skn-mly1anyCharacter"/>
                            <w:rFonts w:ascii="Open Sans" w:eastAsia="Open Sans" w:hAnsi="Open Sans" w:cs="Open Sans"/>
                            <w:color w:val="343B30"/>
                            <w:sz w:val="20"/>
                            <w:szCs w:val="20"/>
                          </w:rPr>
                          <w:t xml:space="preserve"> </w:t>
                        </w:r>
                        <w:r>
                          <w:rPr>
                            <w:rStyle w:val="skn-mly1anyCharacter"/>
                            <w:rFonts w:ascii="Open Sans" w:eastAsia="Open Sans" w:hAnsi="Open Sans" w:cs="Open Sans"/>
                            <w:color w:val="343B30"/>
                            <w:sz w:val="20"/>
                            <w:szCs w:val="20"/>
                          </w:rPr>
                          <w:t>400069</w:t>
                        </w:r>
                        <w:r>
                          <w:rPr>
                            <w:rStyle w:val="adrs-field-tableaddr-circle"/>
                            <w:rFonts w:ascii="Open Sans" w:eastAsia="Open Sans" w:hAnsi="Open Sans" w:cs="Open Sans"/>
                            <w:color w:val="343B30"/>
                            <w:sz w:val="20"/>
                            <w:szCs w:val="20"/>
                          </w:rPr>
                          <w:t xml:space="preserve"> </w:t>
                        </w:r>
                      </w:p>
                    </w:tc>
                  </w:tr>
                </w:tbl>
                <w:p>
                  <w:pPr>
                    <w:rPr>
                      <w:rStyle w:val="cntc-secaddressadrs-fieldtable-cell"/>
                      <w:rFonts w:ascii="Open Sans" w:eastAsia="Open Sans" w:hAnsi="Open Sans" w:cs="Open Sans"/>
                      <w:color w:val="343B30"/>
                      <w:sz w:val="20"/>
                      <w:szCs w:val="20"/>
                    </w:rPr>
                  </w:pPr>
                </w:p>
              </w:tc>
              <w:tc>
                <w:tcPr>
                  <w:tcW w:w="140" w:type="dxa"/>
                  <w:tcMar>
                    <w:bottom w:w="0" w:type="dxa"/>
                  </w:tcMar>
                </w:tcPr>
                <w:p/>
              </w:tc>
              <w:tc>
                <w:tcPr>
                  <w:tcW w:w="3260" w:type="dxa"/>
                  <w:tcMar>
                    <w:top w:w="0" w:type="dxa"/>
                    <w:left w:w="0" w:type="dxa"/>
                    <w:bottom w:w="0" w:type="dxa"/>
                    <w:right w:w="0" w:type="dxa"/>
                  </w:tcMar>
                  <w:vAlign w:val="center"/>
                  <w:hideMark/>
                </w:tcPr>
                <w:tbl>
                  <w:tblPr>
                    <w:tblStyle w:val="skn-mly1anyTable"/>
                    <w:tblW w:w="0" w:type="auto"/>
                    <w:tblCellSpacing w:w="0" w:type="dxa"/>
                    <w:tblInd w:w="0" w:type="dxa"/>
                    <w:tblLayout w:type="fixed"/>
                    <w:tblCellMar>
                      <w:top w:w="0" w:type="dxa"/>
                      <w:left w:w="0" w:type="dxa"/>
                      <w:bottom w:w="0" w:type="dxa"/>
                      <w:right w:w="0" w:type="dxa"/>
                    </w:tblCellMar>
                    <w:tblLook w:val="05E0"/>
                  </w:tblPr>
                  <w:tblGrid>
                    <w:gridCol w:w="530"/>
                    <w:gridCol w:w="2730"/>
                  </w:tblGrid>
                  <w:tr>
                    <w:tblPrEx>
                      <w:tblW w:w="0" w:type="auto"/>
                      <w:tblCellSpacing w:w="0" w:type="dxa"/>
                      <w:tblInd w:w="0" w:type="dxa"/>
                      <w:tblLayout w:type="fixed"/>
                      <w:tblCellMar>
                        <w:top w:w="0" w:type="dxa"/>
                        <w:left w:w="0" w:type="dxa"/>
                        <w:bottom w:w="0" w:type="dxa"/>
                        <w:right w:w="0" w:type="dxa"/>
                      </w:tblCellMar>
                      <w:tblLook w:val="05E0"/>
                    </w:tblPrEx>
                    <w:trPr>
                      <w:tblCellSpacing w:w="0" w:type="dxa"/>
                    </w:trPr>
                    <w:tc>
                      <w:tcPr>
                        <w:tcW w:w="530" w:type="dxa"/>
                        <w:tcMar>
                          <w:top w:w="0" w:type="dxa"/>
                          <w:left w:w="0" w:type="dxa"/>
                          <w:bottom w:w="0" w:type="dxa"/>
                          <w:right w:w="0" w:type="dxa"/>
                        </w:tcMar>
                        <w:vAlign w:val="center"/>
                        <w:hideMark/>
                      </w:tcPr>
                      <w:p>
                        <w:pPr>
                          <w:spacing w:line="240" w:lineRule="atLeast"/>
                          <w:ind w:left="0" w:right="0"/>
                          <w:rPr>
                            <w:rStyle w:val="cntc-secaddressadrs-fieldtable-cell"/>
                            <w:rFonts w:ascii="Open Sans" w:eastAsia="Open Sans" w:hAnsi="Open Sans" w:cs="Open Sans"/>
                            <w:color w:val="343B30"/>
                            <w:sz w:val="20"/>
                            <w:szCs w:val="20"/>
                          </w:rPr>
                        </w:pPr>
                        <w:r>
                          <w:rPr>
                            <w:rStyle w:val="cntc-secaddressadrs-fieldtable-cell"/>
                            <w:rFonts w:ascii="Open Sans" w:eastAsia="Open Sans" w:hAnsi="Open Sans" w:cs="Open Sans"/>
                            <w:color w:val="343B30"/>
                            <w:sz w:val="20"/>
                            <w:szCs w:val="20"/>
                          </w:rPr>
                          <w:drawing>
                            <wp:inline>
                              <wp:extent cx="241003" cy="241137"/>
                              <wp:docPr id="10000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
                                      <pic:cNvPicPr>
                                        <a:picLocks noChangeAspect="1"/>
                                      </pic:cNvPicPr>
                                    </pic:nvPicPr>
                                    <pic:blipFill>
                                      <a:blip xmlns:r="http://schemas.openxmlformats.org/officeDocument/2006/relationships" r:embed="rId7"/>
                                      <a:stretch>
                                        <a:fillRect/>
                                      </a:stretch>
                                    </pic:blipFill>
                                    <pic:spPr>
                                      <a:xfrm>
                                        <a:off x="0" y="0"/>
                                        <a:ext cx="241003" cy="241137"/>
                                      </a:xfrm>
                                      <a:prstGeom prst="rect">
                                        <a:avLst/>
                                      </a:prstGeom>
                                    </pic:spPr>
                                  </pic:pic>
                                </a:graphicData>
                              </a:graphic>
                            </wp:inline>
                          </w:drawing>
                        </w:r>
                      </w:p>
                    </w:tc>
                    <w:tc>
                      <w:tcPr>
                        <w:tcW w:w="2730" w:type="dxa"/>
                        <w:tcMar>
                          <w:top w:w="0" w:type="dxa"/>
                          <w:left w:w="0" w:type="dxa"/>
                          <w:bottom w:w="0" w:type="dxa"/>
                          <w:right w:w="0" w:type="dxa"/>
                        </w:tcMar>
                        <w:vAlign w:val="center"/>
                        <w:hideMark/>
                      </w:tcPr>
                      <w:p>
                        <w:pPr>
                          <w:spacing w:line="240" w:lineRule="atLeast"/>
                          <w:ind w:left="0" w:right="0"/>
                          <w:rPr>
                            <w:rStyle w:val="adrs-field-tablecircle"/>
                            <w:rFonts w:ascii="Open Sans" w:eastAsia="Open Sans" w:hAnsi="Open Sans" w:cs="Open Sans"/>
                            <w:color w:val="343B30"/>
                            <w:sz w:val="20"/>
                            <w:szCs w:val="20"/>
                          </w:rPr>
                        </w:pPr>
                        <w:r>
                          <w:rPr>
                            <w:rStyle w:val="skn-mly1anyCharacter"/>
                            <w:rFonts w:ascii="Open Sans" w:eastAsia="Open Sans" w:hAnsi="Open Sans" w:cs="Open Sans"/>
                            <w:color w:val="343B30"/>
                            <w:sz w:val="20"/>
                            <w:szCs w:val="20"/>
                          </w:rPr>
                          <w:t>12 September 1994</w:t>
                        </w:r>
                      </w:p>
                    </w:tc>
                  </w:tr>
                </w:tbl>
                <w:p>
                  <w:pPr>
                    <w:rPr>
                      <w:rStyle w:val="cntc-secaddressadrs-fieldtable-cell"/>
                      <w:rFonts w:ascii="Open Sans" w:eastAsia="Open Sans" w:hAnsi="Open Sans" w:cs="Open Sans"/>
                      <w:color w:val="343B30"/>
                      <w:sz w:val="20"/>
                      <w:szCs w:val="20"/>
                    </w:rPr>
                  </w:pPr>
                </w:p>
              </w:tc>
            </w:tr>
          </w:tbl>
          <w:p>
            <w:pPr>
              <w:pBdr>
                <w:top w:val="none" w:sz="0" w:space="0" w:color="auto"/>
                <w:left w:val="none" w:sz="0" w:space="0" w:color="auto"/>
                <w:bottom w:val="none" w:sz="0" w:space="0" w:color="auto"/>
                <w:right w:val="none" w:sz="0" w:space="0" w:color="auto"/>
              </w:pBdr>
              <w:rPr>
                <w:rStyle w:val="skn-mly1top-sectionleft-box"/>
                <w:rFonts w:ascii="Open Sans" w:eastAsia="Open Sans" w:hAnsi="Open Sans" w:cs="Open Sans"/>
                <w:color w:val="343B30"/>
                <w:sz w:val="20"/>
                <w:szCs w:val="20"/>
                <w:shd w:val="clear" w:color="auto" w:fill="auto"/>
              </w:rPr>
            </w:pPr>
          </w:p>
        </w:tc>
        <w:tc>
          <w:tcPr>
            <w:tcW w:w="4520" w:type="dxa"/>
            <w:shd w:val="clear" w:color="auto" w:fill="A2CFDE"/>
            <w:tcMar>
              <w:top w:w="600" w:type="dxa"/>
              <w:left w:w="0" w:type="dxa"/>
              <w:bottom w:w="600" w:type="dxa"/>
              <w:right w:w="0" w:type="dxa"/>
            </w:tcMar>
            <w:vAlign w:val="center"/>
            <w:hideMark/>
          </w:tcPr>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top-sectionright-box"/>
                <w:rFonts w:ascii="Poppins" w:eastAsia="Poppins" w:hAnsi="Poppins" w:cs="Poppins"/>
                <w:b/>
                <w:bCs/>
                <w:caps/>
                <w:color w:val="343B30"/>
                <w:spacing w:val="20"/>
                <w:shd w:val="clear" w:color="auto" w:fill="auto"/>
              </w:rPr>
            </w:pPr>
            <w:r>
              <w:rPr>
                <w:rStyle w:val="skn-mly1top-sectionright-box"/>
                <w:rFonts w:ascii="Poppins" w:eastAsia="Poppins" w:hAnsi="Poppins" w:cs="Poppins"/>
                <w:b/>
                <w:bCs/>
                <w:caps/>
                <w:color w:val="343B30"/>
                <w:shd w:val="clear" w:color="auto" w:fill="auto"/>
              </w:rPr>
              <w:t>Professional Summary</w:t>
            </w:r>
          </w:p>
          <w:p>
            <w:pPr>
              <w:pStyle w:val="skn-mly1any"/>
              <w:pBdr>
                <w:top w:val="none" w:sz="0" w:space="0" w:color="auto"/>
                <w:left w:val="none" w:sz="0" w:space="0" w:color="auto"/>
                <w:bottom w:val="none" w:sz="0" w:space="0" w:color="auto"/>
                <w:right w:val="none" w:sz="0" w:space="0" w:color="auto"/>
              </w:pBdr>
              <w:spacing w:before="0" w:after="0" w:line="240" w:lineRule="atLeast"/>
              <w:ind w:left="600" w:right="600"/>
              <w:rPr>
                <w:rStyle w:val="skn-mly1top-sectionright-box"/>
                <w:rFonts w:ascii="Open Sans" w:eastAsia="Open Sans" w:hAnsi="Open Sans" w:cs="Open Sans"/>
                <w:color w:val="343B30"/>
                <w:sz w:val="20"/>
                <w:szCs w:val="20"/>
                <w:shd w:val="clear" w:color="auto" w:fill="auto"/>
              </w:rPr>
            </w:pPr>
            <w:r>
              <w:rPr>
                <w:rStyle w:val="skn-mly1top-sectionright-box"/>
                <w:rFonts w:ascii="Open Sans" w:eastAsia="Open Sans" w:hAnsi="Open Sans" w:cs="Open Sans"/>
                <w:color w:val="343B30"/>
                <w:sz w:val="20"/>
                <w:szCs w:val="20"/>
                <w:shd w:val="clear" w:color="auto" w:fill="auto"/>
              </w:rPr>
              <w:t>Investment Banking Associate with expertise in financial modeling, valuation analysis, and pitch book preparation. Proven ability to support mergers and acquisitions through due diligence and transaction documentation. Ready to leverage industry knowledge and analytical skills to drive success and growth in a dynamic investment banking role.</w:t>
            </w:r>
          </w:p>
        </w:tc>
      </w:tr>
      <w:tr>
        <w:tblPrEx>
          <w:tblW w:w="0" w:type="auto"/>
          <w:tblCellSpacing w:w="0" w:type="dxa"/>
          <w:tblLayout w:type="fixed"/>
          <w:tblLook w:val="05E0"/>
        </w:tblPrEx>
        <w:trPr>
          <w:tblCellSpacing w:w="0" w:type="dxa"/>
        </w:trPr>
        <w:tc>
          <w:tcPr>
            <w:tcW w:w="7720" w:type="dxa"/>
            <w:shd w:val="clear" w:color="auto" w:fill="FFFFFF"/>
            <w:tcMar>
              <w:top w:w="600" w:type="dxa"/>
              <w:left w:w="0" w:type="dxa"/>
              <w:bottom w:w="600" w:type="dxa"/>
              <w:right w:w="0" w:type="dxa"/>
            </w:tcMar>
            <w:vAlign w:val="top"/>
            <w:hideMark/>
          </w:tcPr>
          <w:p>
            <w:pPr>
              <w:pStyle w:val="skn-mly1last-boxsectionnth-child1section-spacing"/>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left-box"/>
                <w:rFonts w:ascii="Open Sans" w:eastAsia="Open Sans" w:hAnsi="Open Sans" w:cs="Open Sans"/>
                <w:vanish/>
                <w:color w:val="343B30"/>
                <w:sz w:val="20"/>
                <w:szCs w:val="20"/>
                <w:shd w:val="clear" w:color="auto" w:fill="auto"/>
              </w:rPr>
            </w:pPr>
            <w:r>
              <w:rPr>
                <w:rStyle w:val="skn-mly1parent-containerleft-box"/>
                <w:rFonts w:ascii="Open Sans" w:eastAsia="Open Sans" w:hAnsi="Open Sans" w:cs="Open Sans"/>
                <w:vanish/>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left-box"/>
                <w:rFonts w:ascii="Poppins" w:eastAsia="Poppins" w:hAnsi="Poppins" w:cs="Poppins"/>
                <w:b/>
                <w:bCs/>
                <w:caps/>
                <w:color w:val="343B30"/>
                <w:spacing w:val="20"/>
                <w:shd w:val="clear" w:color="auto" w:fill="auto"/>
              </w:rPr>
            </w:pPr>
            <w:r>
              <w:rPr>
                <w:rStyle w:val="skn-mly1parent-containerleft-box"/>
                <w:rFonts w:ascii="Poppins" w:eastAsia="Poppins" w:hAnsi="Poppins" w:cs="Poppins"/>
                <w:b/>
                <w:bCs/>
                <w:caps/>
                <w:color w:val="343B30"/>
                <w:shd w:val="clear" w:color="auto" w:fill="auto"/>
              </w:rPr>
              <w:t>Experience</w:t>
            </w:r>
          </w:p>
          <w:p>
            <w:pPr>
              <w:pStyle w:val="skn-mly1left-boxsinglecolumn"/>
              <w:pBdr>
                <w:top w:val="none" w:sz="0" w:space="0" w:color="auto"/>
                <w:left w:val="none" w:sz="0" w:space="0" w:color="auto"/>
                <w:bottom w:val="none" w:sz="0" w:space="0" w:color="auto"/>
                <w:right w:val="none" w:sz="0" w:space="0" w:color="auto"/>
              </w:pBdr>
              <w:spacing w:before="0" w:line="240" w:lineRule="atLeast"/>
              <w:ind w:left="600" w:right="600"/>
              <w:rPr>
                <w:rStyle w:val="skn-mly1parent-containerlef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color w:val="343B30"/>
                <w:sz w:val="20"/>
                <w:szCs w:val="20"/>
              </w:rPr>
              <w:t>Apex Capital Advisors</w:t>
            </w:r>
            <w:r>
              <w:rPr>
                <w:rStyle w:val="skn-mly1txt-bold"/>
                <w:rFonts w:ascii="Open Sans" w:eastAsia="Open Sans" w:hAnsi="Open Sans" w:cs="Open Sans"/>
                <w:b/>
                <w:bCs/>
                <w:color w:val="343B30"/>
                <w:sz w:val="20"/>
                <w:szCs w:val="20"/>
              </w:rPr>
              <w:t xml:space="preserve"> - </w:t>
            </w:r>
            <w:r>
              <w:rPr>
                <w:rStyle w:val="skn-mly1txt-bold"/>
                <w:rFonts w:ascii="Open Sans" w:eastAsia="Open Sans" w:hAnsi="Open Sans" w:cs="Open Sans"/>
                <w:b/>
                <w:bCs/>
                <w:color w:val="343B30"/>
                <w:sz w:val="20"/>
                <w:szCs w:val="20"/>
              </w:rPr>
              <w:t>Investment Banking Associate</w:t>
            </w:r>
            <w:r>
              <w:rPr>
                <w:rStyle w:val="singlecolumnspanpaddedlinenth-child1"/>
                <w:rFonts w:ascii="Open Sans" w:eastAsia="Open Sans" w:hAnsi="Open Sans" w:cs="Open Sans"/>
                <w:color w:val="343B30"/>
                <w:sz w:val="20"/>
                <w:szCs w:val="20"/>
              </w:rPr>
              <w:t xml:space="preserve"> </w:t>
            </w:r>
            <w:r>
              <w:rPr>
                <w:rStyle w:val="singlecolumnspanpaddedlinenth-child1"/>
                <w:rFonts w:ascii="Open Sans" w:eastAsia="Open Sans" w:hAnsi="Open Sans" w:cs="Open Sans"/>
                <w:color w:val="343B30"/>
                <w:sz w:val="20"/>
                <w:szCs w:val="20"/>
              </w:rPr>
              <w:br/>
            </w:r>
            <w:r>
              <w:rPr>
                <w:rStyle w:val="skn-mly1txtItl"/>
                <w:rFonts w:ascii="Open Sans" w:eastAsia="Open Sans" w:hAnsi="Open Sans" w:cs="Open Sans"/>
                <w:i/>
                <w:iCs/>
                <w:color w:val="343B30"/>
                <w:sz w:val="20"/>
                <w:szCs w:val="20"/>
              </w:rPr>
              <w:t>Mumbai</w:t>
            </w:r>
            <w:r>
              <w:rPr>
                <w:rStyle w:val="skn-mly1anyCharacter"/>
                <w:rFonts w:ascii="Open Sans" w:eastAsia="Open Sans" w:hAnsi="Open Sans" w:cs="Open Sans"/>
                <w:color w:val="343B30"/>
                <w:sz w:val="20"/>
                <w:szCs w:val="20"/>
              </w:rPr>
              <w:t xml:space="preserve">, </w:t>
            </w:r>
            <w:r>
              <w:rPr>
                <w:rStyle w:val="skn-mly1txtItl"/>
                <w:rFonts w:ascii="Open Sans" w:eastAsia="Open Sans" w:hAnsi="Open Sans" w:cs="Open Sans"/>
                <w:i/>
                <w:iCs/>
                <w:color w:val="343B30"/>
                <w:sz w:val="20"/>
                <w:szCs w:val="20"/>
              </w:rPr>
              <w:t>Maharashtra</w:t>
            </w:r>
            <w:r>
              <w:rPr>
                <w:rStyle w:val="singlecolumnspanpaddedlinenth-child1"/>
                <w:rFonts w:ascii="Open Sans" w:eastAsia="Open Sans" w:hAnsi="Open Sans" w:cs="Open Sans"/>
                <w:color w:val="343B30"/>
                <w:sz w:val="20"/>
                <w:szCs w:val="20"/>
              </w:rPr>
              <w:t xml:space="preserve"> </w:t>
            </w:r>
            <w:r>
              <w:rPr>
                <w:rStyle w:val="skn-mly1anyCharacter"/>
                <w:rFonts w:ascii="Open Sans" w:eastAsia="Open Sans" w:hAnsi="Open Sans" w:cs="Open Sans"/>
                <w:color w:val="343B30"/>
                <w:sz w:val="18"/>
                <w:szCs w:val="18"/>
              </w:rPr>
              <w:t>•</w:t>
            </w:r>
            <w:r>
              <w:rPr>
                <w:rStyle w:val="singlecolumnspanpaddedlinenth-child1"/>
                <w:rFonts w:ascii="Open Sans" w:eastAsia="Open Sans" w:hAnsi="Open Sans" w:cs="Open Sans"/>
                <w:color w:val="343B30"/>
                <w:sz w:val="20"/>
                <w:szCs w:val="20"/>
              </w:rPr>
              <w:t xml:space="preserve"> </w:t>
            </w:r>
            <w:r>
              <w:rPr>
                <w:rStyle w:val="skn-mly1txtItl"/>
                <w:rFonts w:ascii="Open Sans" w:eastAsia="Open Sans" w:hAnsi="Open Sans" w:cs="Open Sans"/>
                <w:i/>
                <w:iCs/>
                <w:color w:val="343B30"/>
                <w:sz w:val="20"/>
                <w:szCs w:val="20"/>
              </w:rPr>
              <w:t>07/2021</w:t>
            </w:r>
            <w:r>
              <w:rPr>
                <w:rStyle w:val="skn-mly1anyCharacter"/>
                <w:rFonts w:ascii="Open Sans" w:eastAsia="Open Sans" w:hAnsi="Open Sans" w:cs="Open Sans"/>
                <w:color w:val="343B30"/>
                <w:sz w:val="20"/>
                <w:szCs w:val="20"/>
              </w:rPr>
              <w:t xml:space="preserve"> - </w:t>
            </w:r>
            <w:r>
              <w:rPr>
                <w:rStyle w:val="skn-mly1txtItl"/>
                <w:rFonts w:ascii="Open Sans" w:eastAsia="Open Sans" w:hAnsi="Open Sans" w:cs="Open Sans"/>
                <w:i/>
                <w:iCs/>
                <w:color w:val="343B30"/>
                <w:sz w:val="20"/>
                <w:szCs w:val="20"/>
              </w:rPr>
              <w:t>Present</w:t>
            </w:r>
            <w:r>
              <w:rPr>
                <w:rStyle w:val="singlecolumnspanpaddedlinenth-child1"/>
                <w:rFonts w:ascii="Open Sans" w:eastAsia="Open Sans" w:hAnsi="Open Sans" w:cs="Open Sans"/>
                <w:color w:val="343B30"/>
                <w:sz w:val="20"/>
                <w:szCs w:val="20"/>
              </w:rPr>
              <w:t xml:space="preserve"> </w:t>
            </w:r>
          </w:p>
          <w:p>
            <w:pPr>
              <w:pStyle w:val="skn-mly1ulli"/>
              <w:numPr>
                <w:ilvl w:val="0"/>
                <w:numId w:val="1"/>
              </w:numPr>
              <w:pBdr>
                <w:top w:val="none" w:sz="0" w:space="0" w:color="auto"/>
                <w:bottom w:val="none" w:sz="0" w:space="0" w:color="auto"/>
                <w:right w:val="none" w:sz="0" w:space="0" w:color="auto"/>
              </w:pBdr>
              <w:spacing w:before="120"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Prepared detailed financial models including DCF, trading comparables, and transaction comparables for live and potential deals.</w:t>
            </w:r>
          </w:p>
          <w:p>
            <w:pPr>
              <w:pStyle w:val="skn-mly1ulli"/>
              <w:numPr>
                <w:ilvl w:val="0"/>
                <w:numId w:val="1"/>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Supported senior bankers in preparing pitch books, information memorandums, and management presentations for client meetings.</w:t>
            </w:r>
          </w:p>
          <w:p>
            <w:pPr>
              <w:pStyle w:val="skn-mly1ulli"/>
              <w:numPr>
                <w:ilvl w:val="0"/>
                <w:numId w:val="1"/>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Conducted in-depth company and industry research to support deal positioning and valuation assumptions.</w:t>
            </w:r>
          </w:p>
          <w:p>
            <w:pPr>
              <w:pStyle w:val="skn-mly1ulli"/>
              <w:numPr>
                <w:ilvl w:val="0"/>
                <w:numId w:val="1"/>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Coordinated due diligence activities with legal, accounting, and client teams to ensure timely information flow.</w:t>
            </w:r>
          </w:p>
          <w:p>
            <w:pPr>
              <w:pStyle w:val="skn-mly1ulli"/>
              <w:numPr>
                <w:ilvl w:val="0"/>
                <w:numId w:val="1"/>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Reviewed financial statements and identified key risks, adjustments, and normalization items during transaction analysis.</w:t>
            </w:r>
          </w:p>
          <w:p>
            <w:pPr>
              <w:pStyle w:val="skn-mly1ulli"/>
              <w:numPr>
                <w:ilvl w:val="0"/>
                <w:numId w:val="1"/>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Tracked deal timelines and maintained transaction documents to ensure compliance with internal processes.</w:t>
            </w:r>
          </w:p>
          <w:p>
            <w:pPr>
              <w:pStyle w:val="skn-mly1ullinth-last-child1"/>
              <w:numPr>
                <w:ilvl w:val="0"/>
                <w:numId w:val="1"/>
              </w:numPr>
              <w:pBdr>
                <w:top w:val="none" w:sz="0" w:space="0" w:color="auto"/>
                <w:left w:val="none" w:sz="0" w:space="5"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Assisted in client calls and internal discussions by summarizing key financial insights and discussion points.</w:t>
            </w:r>
          </w:p>
          <w:p>
            <w:pPr>
              <w:pStyle w:val="skn-mly1left-boxsinglecolumn"/>
              <w:pBdr>
                <w:top w:val="none" w:sz="0" w:space="0" w:color="auto"/>
                <w:left w:val="none" w:sz="0" w:space="0" w:color="auto"/>
                <w:bottom w:val="none" w:sz="0" w:space="0" w:color="auto"/>
                <w:right w:val="none" w:sz="0" w:space="0" w:color="auto"/>
              </w:pBdr>
              <w:spacing w:before="200" w:line="240" w:lineRule="atLeast"/>
              <w:ind w:left="600" w:right="600"/>
              <w:rPr>
                <w:rStyle w:val="skn-mly1parent-containerlef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color w:val="343B30"/>
                <w:sz w:val="20"/>
                <w:szCs w:val="20"/>
              </w:rPr>
              <w:t>BlueStone Financial Services</w:t>
            </w:r>
            <w:r>
              <w:rPr>
                <w:rStyle w:val="skn-mly1txt-bold"/>
                <w:rFonts w:ascii="Open Sans" w:eastAsia="Open Sans" w:hAnsi="Open Sans" w:cs="Open Sans"/>
                <w:b/>
                <w:bCs/>
                <w:color w:val="343B30"/>
                <w:sz w:val="20"/>
                <w:szCs w:val="20"/>
              </w:rPr>
              <w:t xml:space="preserve"> - </w:t>
            </w:r>
            <w:r>
              <w:rPr>
                <w:rStyle w:val="skn-mly1txt-bold"/>
                <w:rFonts w:ascii="Open Sans" w:eastAsia="Open Sans" w:hAnsi="Open Sans" w:cs="Open Sans"/>
                <w:b/>
                <w:bCs/>
                <w:color w:val="343B30"/>
                <w:sz w:val="20"/>
                <w:szCs w:val="20"/>
              </w:rPr>
              <w:t>Analyst – Investment Banking</w:t>
            </w:r>
            <w:r>
              <w:rPr>
                <w:rStyle w:val="singlecolumnspanpaddedlinenth-child1"/>
                <w:rFonts w:ascii="Open Sans" w:eastAsia="Open Sans" w:hAnsi="Open Sans" w:cs="Open Sans"/>
                <w:color w:val="343B30"/>
                <w:sz w:val="20"/>
                <w:szCs w:val="20"/>
              </w:rPr>
              <w:t xml:space="preserve"> </w:t>
            </w:r>
            <w:r>
              <w:rPr>
                <w:rStyle w:val="singlecolumnspanpaddedlinenth-child1"/>
                <w:rFonts w:ascii="Open Sans" w:eastAsia="Open Sans" w:hAnsi="Open Sans" w:cs="Open Sans"/>
                <w:color w:val="343B30"/>
                <w:sz w:val="20"/>
                <w:szCs w:val="20"/>
              </w:rPr>
              <w:br/>
            </w:r>
            <w:r>
              <w:rPr>
                <w:rStyle w:val="skn-mly1txtItl"/>
                <w:rFonts w:ascii="Open Sans" w:eastAsia="Open Sans" w:hAnsi="Open Sans" w:cs="Open Sans"/>
                <w:i/>
                <w:iCs/>
                <w:color w:val="343B30"/>
                <w:sz w:val="20"/>
                <w:szCs w:val="20"/>
              </w:rPr>
              <w:t>Mumbai</w:t>
            </w:r>
            <w:r>
              <w:rPr>
                <w:rStyle w:val="skn-mly1anyCharacter"/>
                <w:rFonts w:ascii="Open Sans" w:eastAsia="Open Sans" w:hAnsi="Open Sans" w:cs="Open Sans"/>
                <w:color w:val="343B30"/>
                <w:sz w:val="20"/>
                <w:szCs w:val="20"/>
              </w:rPr>
              <w:t xml:space="preserve">, </w:t>
            </w:r>
            <w:r>
              <w:rPr>
                <w:rStyle w:val="skn-mly1txtItl"/>
                <w:rFonts w:ascii="Open Sans" w:eastAsia="Open Sans" w:hAnsi="Open Sans" w:cs="Open Sans"/>
                <w:i/>
                <w:iCs/>
                <w:color w:val="343B30"/>
                <w:sz w:val="20"/>
                <w:szCs w:val="20"/>
              </w:rPr>
              <w:t>Maharashtra</w:t>
            </w:r>
            <w:r>
              <w:rPr>
                <w:rStyle w:val="singlecolumnspanpaddedlinenth-child1"/>
                <w:rFonts w:ascii="Open Sans" w:eastAsia="Open Sans" w:hAnsi="Open Sans" w:cs="Open Sans"/>
                <w:color w:val="343B30"/>
                <w:sz w:val="20"/>
                <w:szCs w:val="20"/>
              </w:rPr>
              <w:t xml:space="preserve"> </w:t>
            </w:r>
            <w:r>
              <w:rPr>
                <w:rStyle w:val="skn-mly1anyCharacter"/>
                <w:rFonts w:ascii="Open Sans" w:eastAsia="Open Sans" w:hAnsi="Open Sans" w:cs="Open Sans"/>
                <w:color w:val="343B30"/>
                <w:sz w:val="18"/>
                <w:szCs w:val="18"/>
              </w:rPr>
              <w:t>•</w:t>
            </w:r>
            <w:r>
              <w:rPr>
                <w:rStyle w:val="singlecolumnspanpaddedlinenth-child1"/>
                <w:rFonts w:ascii="Open Sans" w:eastAsia="Open Sans" w:hAnsi="Open Sans" w:cs="Open Sans"/>
                <w:color w:val="343B30"/>
                <w:sz w:val="20"/>
                <w:szCs w:val="20"/>
              </w:rPr>
              <w:t xml:space="preserve"> </w:t>
            </w:r>
            <w:r>
              <w:rPr>
                <w:rStyle w:val="skn-mly1txtItl"/>
                <w:rFonts w:ascii="Open Sans" w:eastAsia="Open Sans" w:hAnsi="Open Sans" w:cs="Open Sans"/>
                <w:i/>
                <w:iCs/>
                <w:color w:val="343B30"/>
                <w:sz w:val="20"/>
                <w:szCs w:val="20"/>
              </w:rPr>
              <w:t>01/2019</w:t>
            </w:r>
            <w:r>
              <w:rPr>
                <w:rStyle w:val="skn-mly1anyCharacter"/>
                <w:rFonts w:ascii="Open Sans" w:eastAsia="Open Sans" w:hAnsi="Open Sans" w:cs="Open Sans"/>
                <w:color w:val="343B30"/>
                <w:sz w:val="20"/>
                <w:szCs w:val="20"/>
              </w:rPr>
              <w:t xml:space="preserve"> - </w:t>
            </w:r>
            <w:r>
              <w:rPr>
                <w:rStyle w:val="skn-mly1txtItl"/>
                <w:rFonts w:ascii="Open Sans" w:eastAsia="Open Sans" w:hAnsi="Open Sans" w:cs="Open Sans"/>
                <w:i/>
                <w:iCs/>
                <w:color w:val="343B30"/>
                <w:sz w:val="20"/>
                <w:szCs w:val="20"/>
              </w:rPr>
              <w:t>06/2021</w:t>
            </w:r>
            <w:r>
              <w:rPr>
                <w:rStyle w:val="singlecolumnspanpaddedlinenth-child1"/>
                <w:rFonts w:ascii="Open Sans" w:eastAsia="Open Sans" w:hAnsi="Open Sans" w:cs="Open Sans"/>
                <w:color w:val="343B30"/>
                <w:sz w:val="20"/>
                <w:szCs w:val="20"/>
              </w:rPr>
              <w:t xml:space="preserve"> </w:t>
            </w:r>
          </w:p>
          <w:p>
            <w:pPr>
              <w:pStyle w:val="skn-mly1ulli"/>
              <w:numPr>
                <w:ilvl w:val="0"/>
                <w:numId w:val="2"/>
              </w:numPr>
              <w:pBdr>
                <w:top w:val="none" w:sz="0" w:space="0" w:color="auto"/>
                <w:bottom w:val="none" w:sz="0" w:space="0" w:color="auto"/>
                <w:right w:val="none" w:sz="0" w:space="0" w:color="auto"/>
              </w:pBdr>
              <w:spacing w:before="120"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Built financial models and performed valuation analysis under guidance of associates and vice presidents.</w:t>
            </w:r>
          </w:p>
          <w:p>
            <w:pPr>
              <w:pStyle w:val="skn-mly1ulli"/>
              <w:numPr>
                <w:ilvl w:val="0"/>
                <w:numId w:val="2"/>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Prepared initial drafts of pitch decks and marketing materials for equity and debt mandates.</w:t>
            </w:r>
          </w:p>
          <w:p>
            <w:pPr>
              <w:pStyle w:val="skn-mly1ulli"/>
              <w:numPr>
                <w:ilvl w:val="0"/>
                <w:numId w:val="2"/>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Collected and analyzed market data to support industry reports and benchmarking exercises.</w:t>
            </w:r>
          </w:p>
          <w:p>
            <w:pPr>
              <w:pStyle w:val="skn-mly1ulli"/>
              <w:numPr>
                <w:ilvl w:val="0"/>
                <w:numId w:val="2"/>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Assisted in preparing data rooms and managing document requests during due diligence phases.</w:t>
            </w:r>
          </w:p>
          <w:p>
            <w:pPr>
              <w:pStyle w:val="skn-mly1ulli"/>
              <w:numPr>
                <w:ilvl w:val="0"/>
                <w:numId w:val="2"/>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Reviewed historical financial data and prepared summary schedules for internal review.</w:t>
            </w:r>
          </w:p>
          <w:p>
            <w:pPr>
              <w:pStyle w:val="skn-mly1ulli"/>
              <w:numPr>
                <w:ilvl w:val="0"/>
                <w:numId w:val="2"/>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Supported senior team members in transaction execution tasks and client communication.</w:t>
            </w:r>
          </w:p>
          <w:p>
            <w:pPr>
              <w:pStyle w:val="skn-mly1ullinth-last-child1"/>
              <w:numPr>
                <w:ilvl w:val="0"/>
                <w:numId w:val="2"/>
              </w:numPr>
              <w:pBdr>
                <w:top w:val="none" w:sz="0" w:space="0" w:color="auto"/>
                <w:left w:val="none" w:sz="0" w:space="5"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Maintained organized financial files and ensured version control across multiple live engagements.</w: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left-box"/>
                <w:rFonts w:ascii="Poppins" w:eastAsia="Poppins" w:hAnsi="Poppins" w:cs="Poppins"/>
                <w:b/>
                <w:bCs/>
                <w:caps/>
                <w:color w:val="343B30"/>
                <w:spacing w:val="20"/>
                <w:shd w:val="clear" w:color="auto" w:fill="auto"/>
              </w:rPr>
            </w:pPr>
            <w:r>
              <w:rPr>
                <w:rStyle w:val="skn-mly1parent-containerleft-box"/>
                <w:rFonts w:ascii="Poppins" w:eastAsia="Poppins" w:hAnsi="Poppins" w:cs="Poppins"/>
                <w:b/>
                <w:bCs/>
                <w:caps/>
                <w:color w:val="343B30"/>
                <w:shd w:val="clear" w:color="auto" w:fill="auto"/>
              </w:rPr>
              <w:t>Projects</w:t>
            </w:r>
          </w:p>
          <w:p>
            <w:pPr>
              <w:pStyle w:val="skn-mly1left-boxsinglecolumn"/>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Built a full valuation model for a mid-sized manufacturing company as part of an internal deal pitch. Prepared industry analysis report covering trends and valuation multiples for Indian fintech companies.</w: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left-box"/>
                <w:rFonts w:ascii="Poppins" w:eastAsia="Poppins" w:hAnsi="Poppins" w:cs="Poppins"/>
                <w:b/>
                <w:bCs/>
                <w:caps/>
                <w:color w:val="343B30"/>
                <w:spacing w:val="20"/>
                <w:shd w:val="clear" w:color="auto" w:fill="auto"/>
              </w:rPr>
            </w:pPr>
            <w:r>
              <w:rPr>
                <w:rStyle w:val="skn-mly1parent-containerleft-box"/>
                <w:rFonts w:ascii="Poppins" w:eastAsia="Poppins" w:hAnsi="Poppins" w:cs="Poppins"/>
                <w:b/>
                <w:bCs/>
                <w:caps/>
                <w:color w:val="343B30"/>
                <w:shd w:val="clear" w:color="auto" w:fill="auto"/>
              </w:rPr>
              <w:t>Industry</w:t>
            </w:r>
          </w:p>
          <w:p>
            <w:pPr>
              <w:pStyle w:val="skn-mly1left-boxsinglecolumn"/>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Investment Banking and Financial Services</w: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left-box"/>
                <w:rFonts w:ascii="Poppins" w:eastAsia="Poppins" w:hAnsi="Poppins" w:cs="Poppins"/>
                <w:b/>
                <w:bCs/>
                <w:caps/>
                <w:color w:val="343B30"/>
                <w:spacing w:val="20"/>
                <w:shd w:val="clear" w:color="auto" w:fill="auto"/>
              </w:rPr>
            </w:pPr>
            <w:r>
              <w:rPr>
                <w:rStyle w:val="skn-mly1parent-containerleft-box"/>
                <w:rFonts w:ascii="Poppins" w:eastAsia="Poppins" w:hAnsi="Poppins" w:cs="Poppins"/>
                <w:b/>
                <w:bCs/>
                <w:caps/>
                <w:color w:val="343B30"/>
                <w:shd w:val="clear" w:color="auto" w:fill="auto"/>
              </w:rPr>
              <w:t>Accomplishments</w:t>
            </w:r>
          </w:p>
          <w:p>
            <w:pPr>
              <w:pStyle w:val="skn-mly1ulli"/>
              <w:numPr>
                <w:ilvl w:val="0"/>
                <w:numId w:val="3"/>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Recognized for timely deal execution support at Apex Capital Advisors.</w:t>
            </w:r>
          </w:p>
          <w:p>
            <w:pPr>
              <w:pStyle w:val="skn-mly1ulli"/>
              <w:numPr>
                <w:ilvl w:val="0"/>
                <w:numId w:val="3"/>
              </w:numPr>
              <w:pBdr>
                <w:top w:val="none" w:sz="0" w:space="0" w:color="auto"/>
                <w:bottom w:val="none" w:sz="0" w:space="0"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Contributed to successful closure of two M&amp;A transactions at BlueStone Financial Services.</w:t>
            </w:r>
          </w:p>
          <w:p>
            <w:pPr>
              <w:pStyle w:val="skn-mly1ullinth-last-child1"/>
              <w:numPr>
                <w:ilvl w:val="0"/>
                <w:numId w:val="3"/>
              </w:numPr>
              <w:pBdr>
                <w:top w:val="none" w:sz="0" w:space="0" w:color="auto"/>
                <w:left w:val="none" w:sz="0" w:space="5" w:color="auto"/>
                <w:right w:val="none" w:sz="0" w:space="0" w:color="auto"/>
              </w:pBdr>
              <w:spacing w:after="0" w:line="240" w:lineRule="atLeast"/>
              <w:ind w:left="892" w:right="600" w:hanging="292"/>
              <w:jc w:val="left"/>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Received appreciation for high-quality financial models used in client presentations.</w: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parent-containerleft-box"/>
                <w:rFonts w:ascii="Open Sans" w:eastAsia="Open Sans" w:hAnsi="Open Sans" w:cs="Open Sans"/>
                <w:color w:val="343B30"/>
                <w:sz w:val="20"/>
                <w:szCs w:val="20"/>
                <w:shd w:val="clear" w:color="auto" w:fill="auto"/>
              </w:rPr>
            </w:pPr>
            <w:r>
              <w:rPr>
                <w:rStyle w:val="skn-mly1parent-containerleft-box"/>
                <w:rFonts w:ascii="Open Sans" w:eastAsia="Open Sans" w:hAnsi="Open Sans" w:cs="Open Sans"/>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left-box"/>
                <w:rFonts w:ascii="Poppins" w:eastAsia="Poppins" w:hAnsi="Poppins" w:cs="Poppins"/>
                <w:b/>
                <w:bCs/>
                <w:caps/>
                <w:color w:val="343B30"/>
                <w:spacing w:val="20"/>
                <w:shd w:val="clear" w:color="auto" w:fill="auto"/>
              </w:rPr>
            </w:pPr>
            <w:r>
              <w:rPr>
                <w:rStyle w:val="skn-mly1parent-containerleft-box"/>
                <w:rFonts w:ascii="Poppins" w:eastAsia="Poppins" w:hAnsi="Poppins" w:cs="Poppins"/>
                <w:b/>
                <w:bCs/>
                <w:caps/>
                <w:color w:val="343B30"/>
                <w:shd w:val="clear" w:color="auto" w:fill="auto"/>
              </w:rPr>
              <w:t>References</w:t>
            </w:r>
          </w:p>
          <w:p>
            <w:pPr>
              <w:pStyle w:val="skn-mly1left-boxsinglecolumn"/>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left-box"/>
                <w:rFonts w:ascii="Open Sans" w:eastAsia="Open Sans" w:hAnsi="Open Sans" w:cs="Open Sans"/>
                <w:color w:val="343B30"/>
                <w:sz w:val="20"/>
                <w:szCs w:val="20"/>
                <w:shd w:val="clear" w:color="auto" w:fill="auto"/>
              </w:rPr>
            </w:pPr>
            <w:r>
              <w:rPr>
                <w:rStyle w:val="skn-mly1anyCharacter"/>
                <w:rFonts w:ascii="Open Sans" w:eastAsia="Open Sans" w:hAnsi="Open Sans" w:cs="Open Sans"/>
                <w:color w:val="343B30"/>
                <w:sz w:val="20"/>
                <w:szCs w:val="20"/>
              </w:rPr>
              <w:t>References available upon request</w:t>
            </w:r>
          </w:p>
        </w:tc>
        <w:tc>
          <w:tcPr>
            <w:tcW w:w="4520" w:type="dxa"/>
            <w:shd w:val="clear" w:color="auto" w:fill="DAECF2"/>
            <w:tcMar>
              <w:top w:w="600" w:type="dxa"/>
              <w:left w:w="0" w:type="dxa"/>
              <w:bottom w:w="600" w:type="dxa"/>
              <w:right w:w="0" w:type="dxa"/>
            </w:tcMar>
            <w:vAlign w:val="center"/>
            <w:hideMark/>
          </w:tcPr>
          <w:p>
            <w:pPr>
              <w:pStyle w:val="skn-mly1last-boxsectionnth-child1section-spacing"/>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right-box"/>
                <w:rFonts w:ascii="Open Sans" w:eastAsia="Open Sans" w:hAnsi="Open Sans" w:cs="Open Sans"/>
                <w:vanish/>
                <w:color w:val="343B30"/>
                <w:sz w:val="20"/>
                <w:szCs w:val="20"/>
                <w:shd w:val="clear" w:color="auto" w:fill="auto"/>
              </w:rPr>
            </w:pPr>
            <w:r>
              <w:rPr>
                <w:rStyle w:val="skn-mly1parent-containerright-box"/>
                <w:rFonts w:ascii="Open Sans" w:eastAsia="Open Sans" w:hAnsi="Open Sans" w:cs="Open Sans"/>
                <w:vanish/>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right-box"/>
                <w:rFonts w:ascii="Poppins" w:eastAsia="Poppins" w:hAnsi="Poppins" w:cs="Poppins"/>
                <w:b/>
                <w:bCs/>
                <w:caps/>
                <w:color w:val="343B30"/>
                <w:spacing w:val="20"/>
                <w:shd w:val="clear" w:color="auto" w:fill="auto"/>
              </w:rPr>
            </w:pPr>
            <w:r>
              <w:rPr>
                <w:rStyle w:val="skn-mly1parent-containerright-box"/>
                <w:rFonts w:ascii="Poppins" w:eastAsia="Poppins" w:hAnsi="Poppins" w:cs="Poppins"/>
                <w:b/>
                <w:bCs/>
                <w:caps/>
                <w:color w:val="343B30"/>
                <w:shd w:val="clear" w:color="auto" w:fill="auto"/>
              </w:rPr>
              <w:t>Education</w:t>
            </w:r>
          </w:p>
          <w:p>
            <w:pPr>
              <w:pStyle w:val="skn-mly1any"/>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color w:val="343B30"/>
                <w:sz w:val="20"/>
                <w:szCs w:val="20"/>
              </w:rPr>
              <w:t>Narsee Monjee College of Commerce and Economics</w:t>
            </w:r>
            <w:r>
              <w:rPr>
                <w:rStyle w:val="singlecolumnspanpaddedlinenth-child1"/>
                <w:rFonts w:ascii="Open Sans" w:eastAsia="Open Sans" w:hAnsi="Open Sans" w:cs="Open Sans"/>
                <w:color w:val="343B30"/>
                <w:sz w:val="20"/>
                <w:szCs w:val="20"/>
              </w:rPr>
              <w:t xml:space="preserve"> </w:t>
            </w:r>
          </w:p>
          <w:p>
            <w:pPr>
              <w:pStyle w:val="skn-mly1paddedline"/>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anyCharacter"/>
                <w:rFonts w:ascii="Open Sans" w:eastAsia="Open Sans" w:hAnsi="Open Sans" w:cs="Open Sans"/>
                <w:color w:val="343B30"/>
                <w:sz w:val="20"/>
                <w:szCs w:val="20"/>
              </w:rPr>
              <w:t>04/2018</w:t>
            </w:r>
          </w:p>
          <w:p>
            <w:pPr>
              <w:pStyle w:val="skn-mly1paddedline"/>
              <w:pBdr>
                <w:top w:val="none" w:sz="0" w:space="0" w:color="auto"/>
                <w:left w:val="none" w:sz="0" w:space="0" w:color="auto"/>
                <w:bottom w:val="none" w:sz="0" w:space="0" w:color="auto"/>
                <w:right w:val="none" w:sz="0" w:space="0" w:color="auto"/>
              </w:pBdr>
              <w:spacing w:before="10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i/>
                <w:iCs/>
                <w:color w:val="343B30"/>
                <w:sz w:val="20"/>
                <w:szCs w:val="20"/>
              </w:rPr>
              <w:t>Bachelor of Commerce (B.Com)</w:t>
            </w:r>
            <w:r>
              <w:rPr>
                <w:rStyle w:val="skn-mly1beforecolonspace"/>
                <w:rFonts w:ascii="Open Sans" w:eastAsia="Open Sans" w:hAnsi="Open Sans" w:cs="Open Sans"/>
                <w:vanish/>
                <w:color w:val="343B30"/>
                <w:sz w:val="20"/>
                <w:szCs w:val="20"/>
              </w:rPr>
              <w:t xml:space="preserve"> </w:t>
            </w:r>
            <w:r>
              <w:rPr>
                <w:rStyle w:val="skn-mly1txt-bold"/>
                <w:rFonts w:ascii="Open Sans" w:eastAsia="Open Sans" w:hAnsi="Open Sans" w:cs="Open Sans"/>
                <w:b/>
                <w:bCs/>
                <w:color w:val="343B30"/>
                <w:sz w:val="20"/>
                <w:szCs w:val="20"/>
              </w:rPr>
              <w:t>:</w:t>
            </w:r>
            <w:r>
              <w:rPr>
                <w:rStyle w:val="skn-mly1parent-containerright-box"/>
                <w:rFonts w:ascii="Open Sans" w:eastAsia="Open Sans" w:hAnsi="Open Sans" w:cs="Open Sans"/>
                <w:color w:val="343B30"/>
                <w:sz w:val="20"/>
                <w:szCs w:val="20"/>
                <w:shd w:val="clear" w:color="auto" w:fill="auto"/>
              </w:rPr>
              <w:t xml:space="preserve"> </w:t>
            </w:r>
            <w:r>
              <w:rPr>
                <w:rStyle w:val="skn-mly1anyCharacter"/>
                <w:rFonts w:ascii="Open Sans" w:eastAsia="Open Sans" w:hAnsi="Open Sans" w:cs="Open Sans"/>
                <w:color w:val="343B30"/>
                <w:sz w:val="20"/>
                <w:szCs w:val="20"/>
              </w:rPr>
              <w:t>Finance</w:t>
            </w:r>
            <w:r>
              <w:rPr>
                <w:rStyle w:val="skn-mly1parent-containerright-box"/>
                <w:rFonts w:ascii="Open Sans" w:eastAsia="Open Sans" w:hAnsi="Open Sans" w:cs="Open Sans"/>
                <w:color w:val="343B30"/>
                <w:sz w:val="20"/>
                <w:szCs w:val="20"/>
                <w:shd w:val="clear" w:color="auto" w:fill="auto"/>
              </w:rPr>
              <w:t xml:space="preserve"> </w:t>
            </w:r>
          </w:p>
          <w:p>
            <w:pPr>
              <w:pStyle w:val="skn-mly1any"/>
              <w:pBdr>
                <w:top w:val="none" w:sz="0" w:space="0" w:color="auto"/>
                <w:left w:val="none" w:sz="0" w:space="0" w:color="auto"/>
                <w:bottom w:val="none" w:sz="0" w:space="0" w:color="auto"/>
                <w:right w:val="none" w:sz="0" w:space="0" w:color="auto"/>
              </w:pBdr>
              <w:spacing w:before="20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color w:val="343B30"/>
                <w:sz w:val="20"/>
                <w:szCs w:val="20"/>
              </w:rPr>
              <w:t>Mithibai College</w:t>
            </w:r>
            <w:r>
              <w:rPr>
                <w:rStyle w:val="singlecolumnspanpaddedlinenth-child1"/>
                <w:rFonts w:ascii="Open Sans" w:eastAsia="Open Sans" w:hAnsi="Open Sans" w:cs="Open Sans"/>
                <w:color w:val="343B30"/>
                <w:sz w:val="20"/>
                <w:szCs w:val="20"/>
              </w:rPr>
              <w:t xml:space="preserve"> </w:t>
            </w:r>
          </w:p>
          <w:p>
            <w:pPr>
              <w:pStyle w:val="skn-mly1paddedline"/>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anyCharacter"/>
                <w:rFonts w:ascii="Open Sans" w:eastAsia="Open Sans" w:hAnsi="Open Sans" w:cs="Open Sans"/>
                <w:color w:val="343B30"/>
                <w:sz w:val="20"/>
                <w:szCs w:val="20"/>
              </w:rPr>
              <w:t>03/2015</w:t>
            </w:r>
          </w:p>
          <w:p>
            <w:pPr>
              <w:pStyle w:val="skn-mly1paddedline"/>
              <w:pBdr>
                <w:top w:val="none" w:sz="0" w:space="0" w:color="auto"/>
                <w:left w:val="none" w:sz="0" w:space="0" w:color="auto"/>
                <w:bottom w:val="none" w:sz="0" w:space="0" w:color="auto"/>
                <w:right w:val="none" w:sz="0" w:space="0" w:color="auto"/>
              </w:pBdr>
              <w:spacing w:before="10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i/>
                <w:iCs/>
                <w:color w:val="343B30"/>
                <w:sz w:val="20"/>
                <w:szCs w:val="20"/>
              </w:rPr>
              <w:t>Higher Secondary</w:t>
            </w:r>
            <w:r>
              <w:rPr>
                <w:rStyle w:val="skn-mly1beforecolonspace"/>
                <w:rFonts w:ascii="Open Sans" w:eastAsia="Open Sans" w:hAnsi="Open Sans" w:cs="Open Sans"/>
                <w:vanish/>
                <w:color w:val="343B30"/>
                <w:sz w:val="20"/>
                <w:szCs w:val="20"/>
              </w:rPr>
              <w:t xml:space="preserve"> </w:t>
            </w:r>
            <w:r>
              <w:rPr>
                <w:rStyle w:val="skn-mly1txt-bold"/>
                <w:rFonts w:ascii="Open Sans" w:eastAsia="Open Sans" w:hAnsi="Open Sans" w:cs="Open Sans"/>
                <w:b/>
                <w:bCs/>
                <w:color w:val="343B30"/>
                <w:sz w:val="20"/>
                <w:szCs w:val="20"/>
              </w:rPr>
              <w:t>:</w:t>
            </w:r>
            <w:r>
              <w:rPr>
                <w:rStyle w:val="skn-mly1parent-containerright-box"/>
                <w:rFonts w:ascii="Open Sans" w:eastAsia="Open Sans" w:hAnsi="Open Sans" w:cs="Open Sans"/>
                <w:color w:val="343B30"/>
                <w:sz w:val="20"/>
                <w:szCs w:val="20"/>
                <w:shd w:val="clear" w:color="auto" w:fill="auto"/>
              </w:rPr>
              <w:t xml:space="preserve"> </w:t>
            </w:r>
            <w:r>
              <w:rPr>
                <w:rStyle w:val="skn-mly1anyCharacter"/>
                <w:rFonts w:ascii="Open Sans" w:eastAsia="Open Sans" w:hAnsi="Open Sans" w:cs="Open Sans"/>
                <w:color w:val="343B30"/>
                <w:sz w:val="20"/>
                <w:szCs w:val="20"/>
              </w:rPr>
              <w:t>12th Standard</w:t>
            </w:r>
            <w:r>
              <w:rPr>
                <w:rStyle w:val="skn-mly1parent-containerright-box"/>
                <w:rFonts w:ascii="Open Sans" w:eastAsia="Open Sans" w:hAnsi="Open Sans" w:cs="Open Sans"/>
                <w:color w:val="343B30"/>
                <w:sz w:val="20"/>
                <w:szCs w:val="20"/>
                <w:shd w:val="clear" w:color="auto" w:fill="auto"/>
              </w:rPr>
              <w:t xml:space="preserve"> </w:t>
            </w:r>
          </w:p>
          <w:p>
            <w:pPr>
              <w:pStyle w:val="skn-mly1any"/>
              <w:pBdr>
                <w:top w:val="none" w:sz="0" w:space="0" w:color="auto"/>
                <w:left w:val="none" w:sz="0" w:space="0" w:color="auto"/>
                <w:bottom w:val="none" w:sz="0" w:space="0" w:color="auto"/>
                <w:right w:val="none" w:sz="0" w:space="0" w:color="auto"/>
              </w:pBdr>
              <w:spacing w:before="20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color w:val="343B30"/>
                <w:sz w:val="20"/>
                <w:szCs w:val="20"/>
              </w:rPr>
              <w:t>St. Xavier's High School</w:t>
            </w:r>
            <w:r>
              <w:rPr>
                <w:rStyle w:val="singlecolumnspanpaddedlinenth-child1"/>
                <w:rFonts w:ascii="Open Sans" w:eastAsia="Open Sans" w:hAnsi="Open Sans" w:cs="Open Sans"/>
                <w:color w:val="343B30"/>
                <w:sz w:val="20"/>
                <w:szCs w:val="20"/>
              </w:rPr>
              <w:t xml:space="preserve"> </w:t>
            </w:r>
          </w:p>
          <w:p>
            <w:pPr>
              <w:pStyle w:val="skn-mly1paddedline"/>
              <w:pBdr>
                <w:top w:val="none" w:sz="0" w:space="0" w:color="auto"/>
                <w:left w:val="none" w:sz="0" w:space="0" w:color="auto"/>
                <w:bottom w:val="none" w:sz="0" w:space="0" w:color="auto"/>
                <w:right w:val="none" w:sz="0" w:space="0" w:color="auto"/>
              </w:pBdr>
              <w:spacing w:before="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anyCharacter"/>
                <w:rFonts w:ascii="Open Sans" w:eastAsia="Open Sans" w:hAnsi="Open Sans" w:cs="Open Sans"/>
                <w:color w:val="343B30"/>
                <w:sz w:val="20"/>
                <w:szCs w:val="20"/>
              </w:rPr>
              <w:t>03/2013</w:t>
            </w:r>
          </w:p>
          <w:p>
            <w:pPr>
              <w:pStyle w:val="skn-mly1paddedline"/>
              <w:pBdr>
                <w:top w:val="none" w:sz="0" w:space="0" w:color="auto"/>
                <w:left w:val="none" w:sz="0" w:space="0" w:color="auto"/>
                <w:bottom w:val="none" w:sz="0" w:space="0" w:color="auto"/>
                <w:right w:val="none" w:sz="0" w:space="0" w:color="auto"/>
              </w:pBdr>
              <w:spacing w:before="100" w:after="0" w:line="240" w:lineRule="atLeast"/>
              <w:ind w:left="600" w:right="600"/>
              <w:rPr>
                <w:rStyle w:val="skn-mly1parent-containerright-box"/>
                <w:rFonts w:ascii="Open Sans" w:eastAsia="Open Sans" w:hAnsi="Open Sans" w:cs="Open Sans"/>
                <w:color w:val="343B30"/>
                <w:sz w:val="20"/>
                <w:szCs w:val="20"/>
                <w:shd w:val="clear" w:color="auto" w:fill="auto"/>
              </w:rPr>
            </w:pPr>
            <w:r>
              <w:rPr>
                <w:rStyle w:val="skn-mly1txt-bold"/>
                <w:rFonts w:ascii="Open Sans" w:eastAsia="Open Sans" w:hAnsi="Open Sans" w:cs="Open Sans"/>
                <w:b/>
                <w:bCs/>
                <w:i/>
                <w:iCs/>
                <w:color w:val="343B30"/>
                <w:sz w:val="20"/>
                <w:szCs w:val="20"/>
              </w:rPr>
              <w:t>Secondary</w:t>
            </w:r>
            <w:r>
              <w:rPr>
                <w:rStyle w:val="skn-mly1beforecolonspace"/>
                <w:rFonts w:ascii="Open Sans" w:eastAsia="Open Sans" w:hAnsi="Open Sans" w:cs="Open Sans"/>
                <w:vanish/>
                <w:color w:val="343B30"/>
                <w:sz w:val="20"/>
                <w:szCs w:val="20"/>
              </w:rPr>
              <w:t xml:space="preserve"> </w:t>
            </w:r>
            <w:r>
              <w:rPr>
                <w:rStyle w:val="skn-mly1txt-bold"/>
                <w:rFonts w:ascii="Open Sans" w:eastAsia="Open Sans" w:hAnsi="Open Sans" w:cs="Open Sans"/>
                <w:b/>
                <w:bCs/>
                <w:color w:val="343B30"/>
                <w:sz w:val="20"/>
                <w:szCs w:val="20"/>
              </w:rPr>
              <w:t>:</w:t>
            </w:r>
            <w:r>
              <w:rPr>
                <w:rStyle w:val="skn-mly1parent-containerright-box"/>
                <w:rFonts w:ascii="Open Sans" w:eastAsia="Open Sans" w:hAnsi="Open Sans" w:cs="Open Sans"/>
                <w:color w:val="343B30"/>
                <w:sz w:val="20"/>
                <w:szCs w:val="20"/>
                <w:shd w:val="clear" w:color="auto" w:fill="auto"/>
              </w:rPr>
              <w:t xml:space="preserve"> </w:t>
            </w:r>
            <w:r>
              <w:rPr>
                <w:rStyle w:val="skn-mly1anyCharacter"/>
                <w:rFonts w:ascii="Open Sans" w:eastAsia="Open Sans" w:hAnsi="Open Sans" w:cs="Open Sans"/>
                <w:color w:val="343B30"/>
                <w:sz w:val="20"/>
                <w:szCs w:val="20"/>
              </w:rPr>
              <w:t>10th Standard</w:t>
            </w:r>
            <w:r>
              <w:rPr>
                <w:rStyle w:val="skn-mly1parent-containerright-box"/>
                <w:rFonts w:ascii="Open Sans" w:eastAsia="Open Sans" w:hAnsi="Open Sans" w:cs="Open Sans"/>
                <w:color w:val="343B30"/>
                <w:sz w:val="20"/>
                <w:szCs w:val="20"/>
                <w:shd w:val="clear" w:color="auto" w:fill="auto"/>
              </w:rPr>
              <w:t xml:space="preserve"> </w: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right-box"/>
                <w:rFonts w:ascii="Poppins" w:eastAsia="Poppins" w:hAnsi="Poppins" w:cs="Poppins"/>
                <w:b/>
                <w:bCs/>
                <w:caps/>
                <w:color w:val="343B30"/>
                <w:spacing w:val="20"/>
                <w:shd w:val="clear" w:color="auto" w:fill="auto"/>
              </w:rPr>
            </w:pPr>
            <w:r>
              <w:rPr>
                <w:rStyle w:val="skn-mly1parent-containerright-box"/>
                <w:rFonts w:ascii="Poppins" w:eastAsia="Poppins" w:hAnsi="Poppins" w:cs="Poppins"/>
                <w:b/>
                <w:bCs/>
                <w:caps/>
                <w:color w:val="343B30"/>
                <w:shd w:val="clear" w:color="auto" w:fill="auto"/>
              </w:rPr>
              <w:t>Skills</w:t>
            </w:r>
          </w:p>
          <w:p>
            <w:pPr>
              <w:pStyle w:val="skn-mly1any"/>
              <w:numPr>
                <w:ilvl w:val="0"/>
                <w:numId w:val="4"/>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Financial Modeling</w:t>
            </w:r>
          </w:p>
          <w:p>
            <w:pPr>
              <w:pStyle w:val="skn-mly1any"/>
              <w:numPr>
                <w:ilvl w:val="0"/>
                <w:numId w:val="5"/>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Valuation Analysis</w:t>
            </w:r>
          </w:p>
          <w:p>
            <w:pPr>
              <w:pStyle w:val="skn-mly1any"/>
              <w:numPr>
                <w:ilvl w:val="0"/>
                <w:numId w:val="6"/>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Pitch Book Preparation</w:t>
            </w:r>
          </w:p>
          <w:p>
            <w:pPr>
              <w:pStyle w:val="skn-mly1any"/>
              <w:numPr>
                <w:ilvl w:val="0"/>
                <w:numId w:val="7"/>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Due Diligence Support</w:t>
            </w:r>
          </w:p>
          <w:p>
            <w:pPr>
              <w:pStyle w:val="skn-mly1any"/>
              <w:numPr>
                <w:ilvl w:val="0"/>
                <w:numId w:val="8"/>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Mergers and Acquisitions</w:t>
            </w:r>
          </w:p>
          <w:p>
            <w:pPr>
              <w:pStyle w:val="skn-mly1any"/>
              <w:numPr>
                <w:ilvl w:val="0"/>
                <w:numId w:val="9"/>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Equity Research</w:t>
            </w:r>
          </w:p>
          <w:p>
            <w:pPr>
              <w:pStyle w:val="skn-mly1any"/>
              <w:numPr>
                <w:ilvl w:val="0"/>
                <w:numId w:val="10"/>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Financial Statement Analysis</w:t>
            </w:r>
          </w:p>
          <w:p>
            <w:pPr>
              <w:pStyle w:val="skn-mly1any"/>
              <w:numPr>
                <w:ilvl w:val="0"/>
                <w:numId w:val="11"/>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Client Presentations</w:t>
            </w:r>
          </w:p>
          <w:p>
            <w:pPr>
              <w:pStyle w:val="skn-mly1any"/>
              <w:numPr>
                <w:ilvl w:val="0"/>
                <w:numId w:val="12"/>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Market Research</w:t>
            </w:r>
          </w:p>
          <w:p>
            <w:pPr>
              <w:pStyle w:val="skn-mly1any"/>
              <w:numPr>
                <w:ilvl w:val="0"/>
                <w:numId w:val="13"/>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Transaction Documentation</w:t>
            </w:r>
          </w:p>
          <w:p>
            <w:pPr>
              <w:pStyle w:val="skn-mly1any"/>
              <w:pBdr>
                <w:top w:val="none" w:sz="0" w:space="0" w:color="auto"/>
                <w:left w:val="none" w:sz="0" w:space="0" w:color="auto"/>
                <w:bottom w:val="none" w:sz="0" w:space="0" w:color="auto"/>
                <w:right w:val="none" w:sz="0" w:space="0" w:color="auto"/>
              </w:pBdr>
              <w:spacing w:before="0" w:after="0" w:line="500" w:lineRule="exact"/>
              <w:ind w:left="600" w:right="600"/>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 </w:t>
            </w:r>
          </w:p>
          <w:p>
            <w:pPr>
              <w:pStyle w:val="skn-mly1sectiontitle"/>
              <w:pBdr>
                <w:top w:val="none" w:sz="0" w:space="0" w:color="auto"/>
                <w:left w:val="none" w:sz="0" w:space="0" w:color="auto"/>
                <w:bottom w:val="none" w:sz="0" w:space="0" w:color="auto"/>
                <w:right w:val="none" w:sz="0" w:space="0" w:color="auto"/>
              </w:pBdr>
              <w:spacing w:after="200" w:line="280" w:lineRule="atLeast"/>
              <w:ind w:left="600" w:right="600"/>
              <w:rPr>
                <w:rStyle w:val="skn-mly1parent-containerright-box"/>
                <w:rFonts w:ascii="Poppins" w:eastAsia="Poppins" w:hAnsi="Poppins" w:cs="Poppins"/>
                <w:b/>
                <w:bCs/>
                <w:caps/>
                <w:color w:val="343B30"/>
                <w:spacing w:val="20"/>
                <w:shd w:val="clear" w:color="auto" w:fill="auto"/>
              </w:rPr>
            </w:pPr>
            <w:r>
              <w:rPr>
                <w:rStyle w:val="skn-mly1parent-containerright-box"/>
                <w:rFonts w:ascii="Poppins" w:eastAsia="Poppins" w:hAnsi="Poppins" w:cs="Poppins"/>
                <w:b/>
                <w:bCs/>
                <w:caps/>
                <w:color w:val="343B30"/>
                <w:shd w:val="clear" w:color="auto" w:fill="auto"/>
              </w:rPr>
              <w:t>Certifications</w:t>
            </w:r>
          </w:p>
          <w:p>
            <w:pPr>
              <w:pStyle w:val="skn-mly1any"/>
              <w:numPr>
                <w:ilvl w:val="0"/>
                <w:numId w:val="14"/>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NISM Series VIII – Equity Derivatives Certification</w:t>
            </w:r>
          </w:p>
          <w:p>
            <w:pPr>
              <w:pStyle w:val="skn-mly1any"/>
              <w:numPr>
                <w:ilvl w:val="0"/>
                <w:numId w:val="15"/>
              </w:numPr>
              <w:pBdr>
                <w:top w:val="none" w:sz="0" w:space="0" w:color="auto"/>
                <w:left w:val="none" w:sz="0" w:space="0" w:color="auto"/>
                <w:bottom w:val="none" w:sz="0" w:space="0" w:color="auto"/>
                <w:right w:val="none" w:sz="0" w:space="0" w:color="auto"/>
              </w:pBdr>
              <w:spacing w:before="0" w:after="0" w:line="240" w:lineRule="atLeast"/>
              <w:ind w:left="892" w:right="600" w:hanging="292"/>
              <w:jc w:val="left"/>
              <w:rPr>
                <w:rStyle w:val="skn-mly1parent-containerright-box"/>
                <w:rFonts w:ascii="Open Sans" w:eastAsia="Open Sans" w:hAnsi="Open Sans" w:cs="Open Sans"/>
                <w:color w:val="343B30"/>
                <w:sz w:val="20"/>
                <w:szCs w:val="20"/>
                <w:shd w:val="clear" w:color="auto" w:fill="auto"/>
              </w:rPr>
            </w:pPr>
            <w:r>
              <w:rPr>
                <w:rStyle w:val="skn-mly1parent-containerright-box"/>
                <w:rFonts w:ascii="Open Sans" w:eastAsia="Open Sans" w:hAnsi="Open Sans" w:cs="Open Sans"/>
                <w:color w:val="343B30"/>
                <w:sz w:val="20"/>
                <w:szCs w:val="20"/>
                <w:shd w:val="clear" w:color="auto" w:fill="auto"/>
              </w:rPr>
              <w:t>Financial Modeling and Valuation Analyst Certification</w:t>
            </w:r>
          </w:p>
          <w:p>
            <w:pPr>
              <w:pStyle w:val="skn-mly1parent-containerright-boxParagraph"/>
              <w:shd w:val="clear" w:color="auto" w:fill="auto"/>
              <w:spacing w:line="240" w:lineRule="atLeast"/>
              <w:ind w:left="600" w:right="600"/>
              <w:rPr>
                <w:rStyle w:val="skn-mly1parent-containerright-box"/>
                <w:rFonts w:ascii="Open Sans" w:eastAsia="Open Sans" w:hAnsi="Open Sans" w:cs="Open Sans"/>
                <w:color w:val="343B30"/>
                <w:sz w:val="20"/>
                <w:szCs w:val="20"/>
                <w:shd w:val="clear" w:color="auto" w:fill="auto"/>
              </w:rPr>
            </w:pPr>
          </w:p>
        </w:tc>
      </w:tr>
    </w:tbl>
    <w:p>
      <w:r>
        <w:pict>
          <v:rect id="_x0000_s1027" style="width:386pt;height:11in;margin-top:0;margin-left:0;mso-position-horizontal-relative:page;position:absolute;z-index:-251656192" o:allowoverlap="f" fillcolor="white" stroked="f">
            <v:path strokeok="f"/>
          </v:rect>
        </w:pict>
      </w:r>
      <w:r>
        <w:pict>
          <v:rect id="_x0000_s1028" style="width:226pt;height:11in;margin-top:0;margin-left:0;mso-position-horizontal:right;mso-position-vertical:top;position:absolute;z-index:251661312" fillcolor="#daecf2" stroked="f">
            <v:path strokeok="f"/>
          </v:rect>
        </w:pict>
      </w:r>
    </w:p>
    <w:sectPr>
      <w:headerReference w:type="default" r:id="rId8"/>
      <w:footerReference w:type="default" r:id="rId9"/>
      <w:pgSz w:w="12240" w:h="15840"/>
      <w:pgMar w:top="0" w:right="0" w:bottom="0" w:left="0" w:header="0" w:footer="0"/>
      <w:cols w:space="720"/>
    </w:sectPr>
  </w:body>
</w:document>
</file>

<file path=word/fontTable.xml><?xml version="1.0" encoding="utf-8"?>
<w:fonts xmlns:r="http://schemas.openxmlformats.org/officeDocument/2006/relationships" xmlns:w="http://schemas.openxmlformats.org/wordprocessingml/2006/main">
  <w:font w:name="Courier New">
    <w:charset w:val="00"/>
    <w:family w:val="auto"/>
    <w:pitch w:val="default"/>
  </w:font>
  <w:font w:name="Open Sans">
    <w:charset w:val="00"/>
    <w:family w:val="auto"/>
    <w:pitch w:val="default"/>
    <w:sig w:usb0="00000000" w:usb1="00000000" w:usb2="00000000" w:usb3="00000000" w:csb0="00000001" w:csb1="00000000"/>
    <w:embedRegular r:id="rId1" w:fontKey="{EF2222B9-349F-45EB-B1C5-42CD4138584E}"/>
    <w:embedBold r:id="rId2" w:fontKey="{0BB6D583-6559-43D6-ACA3-8C2D16968EB0}"/>
    <w:embedItalic r:id="rId3" w:fontKey="{46AC93AE-3E8B-4F88-A624-4FC3D3EE3A52}"/>
    <w:embedBoldItalic r:id="rId4" w:fontKey="{8739D536-E90B-4F31-96C7-8FC1D00B2281}"/>
  </w:font>
  <w:font w:name="Poppins">
    <w:charset w:val="00"/>
    <w:family w:val="auto"/>
    <w:pitch w:val="default"/>
    <w:sig w:usb0="00000000" w:usb1="00000000" w:usb2="00000000" w:usb3="00000000" w:csb0="00000001" w:csb1="00000000"/>
    <w:embedRegular r:id="rId5" w:fontKey="{766A4B44-CD1E-4EEC-9262-1C43FB432C2A}"/>
    <w:embedBold r:id="rId6" w:fontKey="{97CCDBFB-6842-461D-84D4-9363A58A5383}"/>
  </w:font>
  <w:font w:name="Symbol">
    <w:charset w:val="00"/>
    <w:family w:val="auto"/>
    <w:pitch w:val="default"/>
  </w:font>
  <w:font w:name="Times New Roman">
    <w:charset w:val="00"/>
    <w:family w:val="auto"/>
    <w:pitch w:val="default"/>
  </w:font>
  <w:font w:name="Wingdings">
    <w:charset w:val="00"/>
    <w:family w:val="auto"/>
    <w:pitch w:val="default"/>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rPr>
        <w:color w:val="FFFFFF"/>
        <w:sz w:val="2"/>
      </w:rPr>
      <w:t>.</w:t>
    </w:r>
  </w:p>
</w:ftr>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pBdr>
        <w:top w:val="none" w:sz="0" w:space="0" w:color="auto"/>
        <w:left w:val="none" w:sz="0" w:space="0" w:color="auto"/>
        <w:bottom w:val="none" w:sz="0" w:space="0" w:color="auto"/>
        <w:right w:val="none" w:sz="0" w:space="0" w:color="auto"/>
        <w:between w:val="none" w:sz="0" w:space="0" w:color="auto"/>
        <w:bar w:val="none" w:sz="0" w:space="0" w:color="auto"/>
      </w:pBdr>
      <w:spacing w:before="0" w:after="0" w:line="20" w:lineRule="auto"/>
    </w:pPr>
    <w:r>
      <w:pict>
        <v:rect id="_x0000_s2049" style="width:226pt;height:11in;margin-top:0;margin-left:0;mso-position-horizontal:right;mso-position-vertical:top;position:absolute;z-index:251658240" fillcolor="#daecf2" stroked="f">
          <v:path strokeok="f"/>
        </v:rect>
      </w:pict>
    </w:r>
    <w:r>
      <w:rPr>
        <w:color w:val="FFFFFF"/>
        <w:sz w:val="2"/>
      </w:rPr>
      <w:t>.</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00000001"/>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
    <w:nsid w:val="00000002"/>
    <w:multiLevelType w:val="hybridMultilevel"/>
    <w:tmpl w:val="00000002"/>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2">
    <w:nsid w:val="00000003"/>
    <w:multiLevelType w:val="hybridMultilevel"/>
    <w:tmpl w:val="00000003"/>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3">
    <w:nsid w:val="00000004"/>
    <w:multiLevelType w:val="hybridMultilevel"/>
    <w:tmpl w:val="00000004"/>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4">
    <w:nsid w:val="00000005"/>
    <w:multiLevelType w:val="hybridMultilevel"/>
    <w:tmpl w:val="00000005"/>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5">
    <w:nsid w:val="00000006"/>
    <w:multiLevelType w:val="hybridMultilevel"/>
    <w:tmpl w:val="00000006"/>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6">
    <w:nsid w:val="00000007"/>
    <w:multiLevelType w:val="hybridMultilevel"/>
    <w:tmpl w:val="00000007"/>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7">
    <w:nsid w:val="00000008"/>
    <w:multiLevelType w:val="hybridMultilevel"/>
    <w:tmpl w:val="00000008"/>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8">
    <w:nsid w:val="00000009"/>
    <w:multiLevelType w:val="hybridMultilevel"/>
    <w:tmpl w:val="00000009"/>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9">
    <w:nsid w:val="0000000A"/>
    <w:multiLevelType w:val="hybridMultilevel"/>
    <w:tmpl w:val="0000000A"/>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0">
    <w:nsid w:val="0000000B"/>
    <w:multiLevelType w:val="hybridMultilevel"/>
    <w:tmpl w:val="0000000B"/>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1">
    <w:nsid w:val="0000000C"/>
    <w:multiLevelType w:val="hybridMultilevel"/>
    <w:tmpl w:val="0000000C"/>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2">
    <w:nsid w:val="0000000D"/>
    <w:multiLevelType w:val="hybridMultilevel"/>
    <w:tmpl w:val="0000000D"/>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3">
    <w:nsid w:val="0000000E"/>
    <w:multiLevelType w:val="hybridMultilevel"/>
    <w:tmpl w:val="0000000E"/>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abstractNum w:abstractNumId="14">
    <w:nsid w:val="0000000F"/>
    <w:multiLevelType w:val="hybridMultilevel"/>
    <w:tmpl w:val="0000000F"/>
    <w:lvl w:ilvl="0">
      <w:start w:val="1"/>
      <w:numFmt w:val="bullet"/>
      <w:lvlText w:val=""/>
      <w:lvlJc w:val="left"/>
      <w:pPr>
        <w:ind w:left="720" w:hanging="360"/>
      </w:pPr>
      <w:rPr>
        <w:rFonts w:ascii="Symbol" w:hAnsi="Symbol"/>
        <w:position w:val="3"/>
        <w:sz w:val="14"/>
      </w:rPr>
    </w:lvl>
    <w:lvl w:ilvl="1">
      <w:start w:val="1"/>
      <w:numFmt w:val="bullet"/>
      <w:lvlText w:val="o"/>
      <w:lvlJc w:val="left"/>
      <w:pPr>
        <w:tabs>
          <w:tab w:val="num" w:pos="1440"/>
        </w:tabs>
        <w:ind w:left="1440" w:hanging="360"/>
      </w:pPr>
      <w:rPr>
        <w:rFonts w:ascii="Courier New" w:hAnsi="Courier New"/>
      </w:rPr>
    </w:lvl>
    <w:lvl w:ilvl="2">
      <w:start w:val="1"/>
      <w:numFmt w:val="bullet"/>
      <w:lvlText w:val=""/>
      <w:lvlJc w:val="left"/>
      <w:pPr>
        <w:tabs>
          <w:tab w:val="num" w:pos="2160"/>
        </w:tabs>
        <w:ind w:left="2160" w:hanging="360"/>
      </w:pPr>
      <w:rPr>
        <w:rFonts w:ascii="Wingdings" w:hAnsi="Wingdings"/>
      </w:rPr>
    </w:lvl>
    <w:lvl w:ilvl="3">
      <w:start w:val="1"/>
      <w:numFmt w:val="bullet"/>
      <w:lvlText w:val=""/>
      <w:lvlJc w:val="left"/>
      <w:pPr>
        <w:tabs>
          <w:tab w:val="num" w:pos="2880"/>
        </w:tabs>
        <w:ind w:left="2880" w:hanging="360"/>
      </w:pPr>
      <w:rPr>
        <w:rFonts w:ascii="Symbol" w:hAnsi="Symbol"/>
      </w:rPr>
    </w:lvl>
    <w:lvl w:ilvl="4">
      <w:start w:val="1"/>
      <w:numFmt w:val="bullet"/>
      <w:lvlText w:val="o"/>
      <w:lvlJc w:val="left"/>
      <w:pPr>
        <w:tabs>
          <w:tab w:val="num" w:pos="3600"/>
        </w:tabs>
        <w:ind w:left="3600" w:hanging="360"/>
      </w:pPr>
      <w:rPr>
        <w:rFonts w:ascii="Courier New" w:hAnsi="Courier New"/>
      </w:rPr>
    </w:lvl>
    <w:lvl w:ilvl="5">
      <w:start w:val="1"/>
      <w:numFmt w:val="bullet"/>
      <w:lvlText w:val=""/>
      <w:lvlJc w:val="left"/>
      <w:pPr>
        <w:tabs>
          <w:tab w:val="num" w:pos="4320"/>
        </w:tabs>
        <w:ind w:left="4320" w:hanging="360"/>
      </w:pPr>
      <w:rPr>
        <w:rFonts w:ascii="Wingdings" w:hAnsi="Wingdings"/>
      </w:rPr>
    </w:lvl>
    <w:lvl w:ilvl="6">
      <w:start w:val="1"/>
      <w:numFmt w:val="bullet"/>
      <w:lvlText w:val=""/>
      <w:lvlJc w:val="left"/>
      <w:pPr>
        <w:tabs>
          <w:tab w:val="num" w:pos="5040"/>
        </w:tabs>
        <w:ind w:left="5040" w:hanging="360"/>
      </w:pPr>
      <w:rPr>
        <w:rFonts w:ascii="Symbol" w:hAnsi="Symbol"/>
      </w:rPr>
    </w:lvl>
    <w:lvl w:ilvl="7">
      <w:start w:val="1"/>
      <w:numFmt w:val="bullet"/>
      <w:lvlText w:val="o"/>
      <w:lvlJc w:val="left"/>
      <w:pPr>
        <w:tabs>
          <w:tab w:val="num" w:pos="5760"/>
        </w:tabs>
        <w:ind w:left="5760" w:hanging="360"/>
      </w:pPr>
      <w:rPr>
        <w:rFonts w:ascii="Courier New" w:hAnsi="Courier New"/>
      </w:rPr>
    </w:lvl>
    <w:lvl w:ilvl="8">
      <w:start w:val="1"/>
      <w:numFmt w:val="bullet"/>
      <w:lvlText w:val=""/>
      <w:lvlJc w:val="left"/>
      <w:pPr>
        <w:tabs>
          <w:tab w:val="num" w:pos="6480"/>
        </w:tabs>
        <w:ind w:left="6480" w:hanging="360"/>
      </w:pPr>
      <w:rPr>
        <w:rFonts w:ascii="Wingdings" w:hAnsi="Wingdings"/>
      </w:r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TrueTypeFonts/>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Times New Roman" w:eastAsia="Times New Roman" w:hAnsi="Times New Roman" w:cs="Times New Roman"/>
      <w:color w:val="2F5496" w:themeShade="BF"/>
      <w:sz w:val="32"/>
      <w:szCs w:val="32"/>
    </w:rPr>
  </w:style>
  <w:style w:type="character" w:customStyle="1" w:styleId="Heading2Char">
    <w:name w:val="Heading 2 Char"/>
    <w:basedOn w:val="DefaultParagraphFont"/>
    <w:link w:val="Heading2"/>
    <w:uiPriority w:val="9"/>
    <w:rsid w:val="00506D7A"/>
    <w:rPr>
      <w:rFonts w:ascii="Times New Roman" w:eastAsia="Times New Roman" w:hAnsi="Times New Roman" w:cs="Times New Roman"/>
      <w:color w:val="2F5496" w:themeShade="BF"/>
      <w:sz w:val="26"/>
      <w:szCs w:val="26"/>
    </w:rPr>
  </w:style>
  <w:style w:type="character" w:customStyle="1" w:styleId="Heading3Char">
    <w:name w:val="Heading 3 Char"/>
    <w:basedOn w:val="DefaultParagraphFont"/>
    <w:link w:val="Heading3"/>
    <w:uiPriority w:val="9"/>
    <w:rsid w:val="00506D7A"/>
    <w:rPr>
      <w:rFonts w:ascii="Times New Roman" w:eastAsia="Times New Roman" w:hAnsi="Times New Roman" w:cs="Times New Roman"/>
      <w:color w:val="1F3763" w:themeShade="7F"/>
      <w:sz w:val="24"/>
      <w:szCs w:val="24"/>
    </w:rPr>
  </w:style>
  <w:style w:type="character" w:customStyle="1" w:styleId="Heading4Char">
    <w:name w:val="Heading 4 Char"/>
    <w:basedOn w:val="DefaultParagraphFont"/>
    <w:link w:val="Heading4"/>
    <w:uiPriority w:val="9"/>
    <w:rsid w:val="00506D7A"/>
    <w:rPr>
      <w:rFonts w:ascii="Times New Roman" w:eastAsia="Times New Roman" w:hAnsi="Times New Roman" w:cs="Times New Roman"/>
      <w:i/>
      <w:iCs/>
      <w:color w:val="2F5496" w:themeShade="BF"/>
    </w:rPr>
  </w:style>
  <w:style w:type="character" w:customStyle="1" w:styleId="Heading5Char">
    <w:name w:val="Heading 5 Char"/>
    <w:basedOn w:val="DefaultParagraphFont"/>
    <w:link w:val="Heading5"/>
    <w:uiPriority w:val="9"/>
    <w:rsid w:val="00506D7A"/>
    <w:rPr>
      <w:rFonts w:ascii="Times New Roman" w:eastAsia="Times New Roman" w:hAnsi="Times New Roman" w:cs="Times New Roman"/>
      <w:color w:val="2F5496" w:themeShade="BF"/>
    </w:rPr>
  </w:style>
  <w:style w:type="character" w:customStyle="1" w:styleId="Heading6Char">
    <w:name w:val="Heading 6 Char"/>
    <w:basedOn w:val="DefaultParagraphFont"/>
    <w:link w:val="Heading6"/>
    <w:uiPriority w:val="9"/>
    <w:rsid w:val="00506D7A"/>
    <w:rPr>
      <w:rFonts w:ascii="Times New Roman" w:eastAsia="Times New Roman" w:hAnsi="Times New Roman" w:cs="Times New Roman"/>
      <w:color w:val="1F3763" w:themeShade="7F"/>
    </w:rPr>
  </w:style>
  <w:style w:type="character" w:customStyle="1" w:styleId="skn-mly1top-sectionleft-box">
    <w:name w:val="skn-mly1_top-section_left-box"/>
    <w:basedOn w:val="DefaultParagraphFont"/>
    <w:rPr>
      <w:shd w:val="clear" w:color="auto" w:fill="FFFFFF"/>
    </w:rPr>
  </w:style>
  <w:style w:type="paragraph" w:customStyle="1" w:styleId="skn-mly1left-boxsectionnth-child1">
    <w:name w:val="skn-mly1_left-box &gt; section_nth-child(1)"/>
    <w:basedOn w:val="Normal"/>
    <w:pPr>
      <w:pBdr>
        <w:top w:val="none" w:sz="0" w:space="0" w:color="auto"/>
      </w:pBdr>
    </w:pPr>
  </w:style>
  <w:style w:type="paragraph" w:customStyle="1" w:styleId="skn-mly1paragraphfirstparagraph">
    <w:name w:val="skn-mly1_paragraph_firstparagraph"/>
    <w:basedOn w:val="Normal"/>
  </w:style>
  <w:style w:type="paragraph" w:customStyle="1" w:styleId="skn-mly1name">
    <w:name w:val="skn-mly1_name"/>
    <w:basedOn w:val="Normal"/>
    <w:pPr>
      <w:spacing w:line="500" w:lineRule="atLeast"/>
    </w:pPr>
    <w:rPr>
      <w:rFonts w:ascii="Poppins" w:eastAsia="Poppins" w:hAnsi="Poppins" w:cs="Poppins"/>
      <w:b/>
      <w:bCs/>
      <w:caps/>
      <w:spacing w:val="10"/>
      <w:sz w:val="56"/>
      <w:szCs w:val="56"/>
    </w:rPr>
  </w:style>
  <w:style w:type="paragraph" w:customStyle="1" w:styleId="skn-mly1any">
    <w:name w:val="skn-mly1_any"/>
    <w:basedOn w:val="Normal"/>
    <w:pPr>
      <w:pBdr>
        <w:top w:val="none" w:sz="0" w:space="0" w:color="auto"/>
        <w:left w:val="none" w:sz="0" w:space="0" w:color="auto"/>
        <w:bottom w:val="none" w:sz="0" w:space="0" w:color="auto"/>
        <w:right w:val="none" w:sz="0" w:space="0" w:color="auto"/>
      </w:pBdr>
    </w:pPr>
  </w:style>
  <w:style w:type="character" w:customStyle="1" w:styleId="skn-mly1anyCharacter">
    <w:name w:val="skn-mly1_any Character"/>
    <w:basedOn w:val="DefaultParagraphFont"/>
  </w:style>
  <w:style w:type="paragraph" w:customStyle="1" w:styleId="skn-mly1prof-title">
    <w:name w:val="skn-mly1_prof-title"/>
    <w:basedOn w:val="Normal"/>
    <w:pPr>
      <w:spacing w:line="360" w:lineRule="atLeast"/>
    </w:pPr>
    <w:rPr>
      <w:b w:val="0"/>
      <w:bCs w:val="0"/>
      <w:spacing w:val="20"/>
      <w:sz w:val="28"/>
      <w:szCs w:val="28"/>
    </w:rPr>
  </w:style>
  <w:style w:type="character" w:customStyle="1" w:styleId="skn-mly1prof-titleCharacter">
    <w:name w:val="skn-mly1_prof-title Character"/>
    <w:basedOn w:val="DefaultParagraphFont"/>
    <w:rPr>
      <w:b w:val="0"/>
      <w:bCs w:val="0"/>
      <w:spacing w:val="20"/>
      <w:sz w:val="28"/>
      <w:szCs w:val="28"/>
    </w:rPr>
  </w:style>
  <w:style w:type="character" w:customStyle="1" w:styleId="skn-mly1nameCharacter">
    <w:name w:val="skn-mly1_name Character"/>
    <w:basedOn w:val="DefaultParagraphFont"/>
    <w:rPr>
      <w:rFonts w:ascii="Poppins" w:eastAsia="Poppins" w:hAnsi="Poppins" w:cs="Poppins"/>
      <w:b/>
      <w:bCs/>
      <w:caps/>
      <w:spacing w:val="10"/>
      <w:sz w:val="56"/>
      <w:szCs w:val="56"/>
    </w:rPr>
  </w:style>
  <w:style w:type="paragraph" w:customStyle="1" w:styleId="skn-mly1top-sectionsection">
    <w:name w:val="skn-mly1_top-section_section"/>
    <w:basedOn w:val="Normal"/>
    <w:pPr>
      <w:pBdr>
        <w:top w:val="none" w:sz="0" w:space="0" w:color="auto"/>
      </w:pBdr>
    </w:pPr>
  </w:style>
  <w:style w:type="character" w:customStyle="1" w:styleId="cntc-secaddressadrs-fieldtable-cell">
    <w:name w:val="cntc-sec_address_adrs-field_table-cell"/>
    <w:basedOn w:val="DefaultParagraphFont"/>
  </w:style>
  <w:style w:type="character" w:customStyle="1" w:styleId="adrs-field-tablecircle">
    <w:name w:val="adrs-field-table_circle"/>
    <w:basedOn w:val="DefaultParagraphFont"/>
  </w:style>
  <w:style w:type="character" w:customStyle="1" w:styleId="adrs-field-tableaddr-circle">
    <w:name w:val="adrs-field-table_addr-circle"/>
    <w:basedOn w:val="DefaultParagraphFont"/>
  </w:style>
  <w:style w:type="table" w:customStyle="1" w:styleId="skn-mly1anyTable">
    <w:name w:val="skn-mly1_any Table"/>
    <w:basedOn w:val="TableNormal"/>
    <w:tblPr/>
  </w:style>
  <w:style w:type="table" w:customStyle="1" w:styleId="skn-mly1address">
    <w:name w:val="skn-mly1_address"/>
    <w:basedOn w:val="TableNormal"/>
    <w:tblPr/>
  </w:style>
  <w:style w:type="character" w:customStyle="1" w:styleId="skn-mly1top-sectionright-box">
    <w:name w:val="skn-mly1_top-section_right-box"/>
    <w:basedOn w:val="DefaultParagraphFont"/>
    <w:rPr>
      <w:shd w:val="clear" w:color="auto" w:fill="FFFFFF"/>
    </w:rPr>
  </w:style>
  <w:style w:type="paragraph" w:customStyle="1" w:styleId="skn-mly1right-boxsectionnth-child1">
    <w:name w:val="skn-mly1_right-box &gt; section_nth-child(1)"/>
    <w:basedOn w:val="Normal"/>
    <w:pPr>
      <w:pBdr>
        <w:top w:val="none" w:sz="0" w:space="0" w:color="auto"/>
      </w:pBdr>
    </w:pPr>
  </w:style>
  <w:style w:type="paragraph" w:customStyle="1" w:styleId="skn-mly1right-boxsectionnth-child1heading">
    <w:name w:val="skn-mly1_right-box &gt; section_nth-child(1)_heading"/>
    <w:basedOn w:val="Normal"/>
  </w:style>
  <w:style w:type="paragraph" w:customStyle="1" w:styleId="skn-mly1sectiontitle">
    <w:name w:val="skn-mly1_sectiontitle"/>
    <w:basedOn w:val="Normal"/>
    <w:rPr>
      <w:spacing w:val="20"/>
    </w:rPr>
  </w:style>
  <w:style w:type="character" w:customStyle="1" w:styleId="skn-mly1parent-containerleft-box">
    <w:name w:val="skn-mly1_parent-container_left-box"/>
    <w:basedOn w:val="DefaultParagraphFont"/>
    <w:rPr>
      <w:shd w:val="clear" w:color="auto" w:fill="FFFFFF"/>
    </w:rPr>
  </w:style>
  <w:style w:type="paragraph" w:customStyle="1" w:styleId="skn-mly1last-boxsectionnth-child1section-spacing">
    <w:name w:val="skn-mly1_last-box &gt; section_nth-child(1)_section-spacing"/>
    <w:basedOn w:val="Normal"/>
    <w:rPr>
      <w:vanish/>
    </w:rPr>
  </w:style>
  <w:style w:type="paragraph" w:customStyle="1" w:styleId="skn-mly1left-boxsectionnth-child1heading">
    <w:name w:val="skn-mly1_left-box &gt; section_nth-child(1)_heading"/>
    <w:basedOn w:val="Normal"/>
  </w:style>
  <w:style w:type="paragraph" w:customStyle="1" w:styleId="skn-mly1left-boxsinglecolumn">
    <w:name w:val="skn-mly1_left-box_singlecolumn"/>
    <w:basedOn w:val="Normal"/>
  </w:style>
  <w:style w:type="character" w:customStyle="1" w:styleId="singlecolumnspanpaddedlinenth-child1">
    <w:name w:val="singlecolumn_span_paddedline_nth-child(1)"/>
    <w:basedOn w:val="DefaultParagraphFont"/>
  </w:style>
  <w:style w:type="character" w:customStyle="1" w:styleId="skn-mly1txt-bold">
    <w:name w:val="skn-mly1_txt-bold"/>
    <w:basedOn w:val="DefaultParagraphFont"/>
    <w:rPr>
      <w:b/>
      <w:bCs/>
    </w:rPr>
  </w:style>
  <w:style w:type="character" w:customStyle="1" w:styleId="skn-mly1txtItl">
    <w:name w:val="skn-mly1_txtItl"/>
    <w:basedOn w:val="DefaultParagraphFont"/>
    <w:rPr>
      <w:i/>
      <w:iCs/>
    </w:rPr>
  </w:style>
  <w:style w:type="paragraph" w:customStyle="1" w:styleId="skn-mly1ulli">
    <w:name w:val="skn-mly1_ul_li"/>
    <w:basedOn w:val="Normal"/>
    <w:pPr>
      <w:pBdr>
        <w:left w:val="none" w:sz="0" w:space="5" w:color="auto"/>
      </w:pBdr>
    </w:pPr>
  </w:style>
  <w:style w:type="paragraph" w:customStyle="1" w:styleId="skn-mly1ullinth-last-child1">
    <w:name w:val="skn-mly1_ul_li_nth-last-child(1)"/>
    <w:basedOn w:val="Normal"/>
    <w:pPr>
      <w:pBdr>
        <w:bottom w:val="none" w:sz="0" w:space="0" w:color="auto"/>
      </w:pBdr>
    </w:pPr>
  </w:style>
  <w:style w:type="paragraph" w:customStyle="1" w:styleId="skn-mly1paragraph">
    <w:name w:val="skn-mly1_paragraph"/>
    <w:basedOn w:val="Normal"/>
  </w:style>
  <w:style w:type="paragraph" w:customStyle="1" w:styleId="skn-mly1section">
    <w:name w:val="skn-mly1_section"/>
    <w:basedOn w:val="Normal"/>
  </w:style>
  <w:style w:type="paragraph" w:customStyle="1" w:styleId="skn-mly1heading">
    <w:name w:val="skn-mly1_heading"/>
    <w:basedOn w:val="Normal"/>
    <w:pPr>
      <w:spacing w:line="280" w:lineRule="atLeast"/>
    </w:pPr>
    <w:rPr>
      <w:rFonts w:ascii="Poppins" w:eastAsia="Poppins" w:hAnsi="Poppins" w:cs="Poppins"/>
      <w:b/>
      <w:bCs/>
      <w:caps/>
      <w:sz w:val="24"/>
      <w:szCs w:val="24"/>
    </w:rPr>
  </w:style>
  <w:style w:type="paragraph" w:customStyle="1" w:styleId="skn-mly1refer-secheadingparagraphnotfirstparagraph">
    <w:name w:val="skn-mly1_refer-sec_heading + paragraph_not(.firstparagraph)"/>
    <w:basedOn w:val="Normal"/>
    <w:pPr>
      <w:pBdr>
        <w:top w:val="none" w:sz="0" w:space="0" w:color="auto"/>
      </w:pBdr>
    </w:pPr>
  </w:style>
  <w:style w:type="character" w:customStyle="1" w:styleId="skn-mly1parent-containerright-box">
    <w:name w:val="skn-mly1_parent-container_right-box"/>
    <w:basedOn w:val="DefaultParagraphFont"/>
    <w:rPr>
      <w:shd w:val="clear" w:color="auto" w:fill="FFFFFF"/>
    </w:rPr>
  </w:style>
  <w:style w:type="paragraph" w:customStyle="1" w:styleId="skn-mly1paddedline">
    <w:name w:val="skn-mly1_paddedline"/>
    <w:basedOn w:val="Normal"/>
  </w:style>
  <w:style w:type="character" w:customStyle="1" w:styleId="skn-mly1beforecolonspace">
    <w:name w:val="skn-mly1_beforecolonspace"/>
    <w:basedOn w:val="DefaultParagraphFont"/>
    <w:rPr>
      <w:vanish/>
    </w:rPr>
  </w:style>
  <w:style w:type="paragraph" w:customStyle="1" w:styleId="skn-mly1dsp-block">
    <w:name w:val="skn-mly1_dsp-block"/>
    <w:basedOn w:val="Normal"/>
  </w:style>
  <w:style w:type="paragraph" w:customStyle="1" w:styleId="skn-mly1cmn-secparagraph">
    <w:name w:val="skn-mly1_cmn-sec_paragraph"/>
    <w:basedOn w:val="Normal"/>
  </w:style>
  <w:style w:type="paragraph" w:customStyle="1" w:styleId="skn-mly1parent-containerright-boxParagraph">
    <w:name w:val="skn-mly1_parent-container_right-box Paragraph"/>
    <w:basedOn w:val="Normal"/>
    <w:pPr>
      <w:shd w:val="clear" w:color="auto" w:fill="FFFFFF"/>
    </w:pPr>
    <w:rPr>
      <w:shd w:val="clear" w:color="auto" w:fill="FFFFFF"/>
    </w:rPr>
  </w:style>
  <w:style w:type="table" w:customStyle="1" w:styleId="skn-mly1pagesize">
    <w:name w:val="skn-mly1_pagesize"/>
    <w:basedOn w:val="TableNormal"/>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theme" Target="theme/theme1.xml" /><Relationship Id="rId11" Type="http://schemas.openxmlformats.org/officeDocument/2006/relationships/numbering" Target="numbering.xml" /><Relationship Id="rId12"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emf" /><Relationship Id="rId5" Type="http://schemas.openxmlformats.org/officeDocument/2006/relationships/image" Target="media/image2.emf" /><Relationship Id="rId6" Type="http://schemas.openxmlformats.org/officeDocument/2006/relationships/image" Target="media/image3.emf" /><Relationship Id="rId7" Type="http://schemas.openxmlformats.org/officeDocument/2006/relationships/image" Target="media/image4.emf" /><Relationship Id="rId8" Type="http://schemas.openxmlformats.org/officeDocument/2006/relationships/header" Target="header1.xml" /><Relationship Id="rId9" Type="http://schemas.openxmlformats.org/officeDocument/2006/relationships/footer" Target="footer1.xml" /></Relationships>
</file>

<file path=word/_rels/fontTable.xml.rels><?xml version="1.0" encoding="utf-8" standalone="yes"?><Relationships xmlns="http://schemas.openxmlformats.org/package/2006/relationships"><Relationship Id="rId1" Type="http://schemas.openxmlformats.org/officeDocument/2006/relationships/font" Target="fonts/font1.odttf" /><Relationship Id="rId2" Type="http://schemas.openxmlformats.org/officeDocument/2006/relationships/font" Target="fonts/font2.odttf" /><Relationship Id="rId3" Type="http://schemas.openxmlformats.org/officeDocument/2006/relationships/font" Target="fonts/font3.odttf" /><Relationship Id="rId4" Type="http://schemas.openxmlformats.org/officeDocument/2006/relationships/font" Target="fonts/font4.odttf" /><Relationship Id="rId5" Type="http://schemas.openxmlformats.org/officeDocument/2006/relationships/font" Target="fonts/font5.odttf" /><Relationship Id="rId6" Type="http://schemas.openxmlformats.org/officeDocument/2006/relationships/font" Target="fonts/font6.odttf"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a:solidFill>
            <a:schemeClr val="phClr">
              <a:shade val="95000"/>
              <a:satMod val="105000"/>
            </a:schemeClr>
          </a:solidFill>
          <a:prstDash val="solid"/>
        </a:ln>
        <a:ln w="25400">
          <a:solidFill>
            <a:schemeClr val="phClr"/>
          </a:solidFill>
          <a:prstDash val="solid"/>
        </a:ln>
        <a:ln w="38100">
          <a:solidFill>
            <a:schemeClr val="phClr"/>
          </a:solidFill>
          <a:prstDash val="solid"/>
        </a:ln>
      </a:lnStyleLst>
      <a:effectStyleLst>
        <a:effectStyle>
          <a:effectLst>
            <a:outerShdw blurRad="40000" dist="20000" dir="5400000" sx="100000" sy="100000" kx="0" ky="0" algn="b" rotWithShape="0">
              <a:srgbClr val="000000">
                <a:alpha val="38000"/>
              </a:srgbClr>
            </a:outerShdw>
          </a:effectLst>
        </a:effectStyle>
        <a:effectStyle>
          <a:effectLst>
            <a:outerShdw blurRad="40000" dist="23000" dir="5400000" sx="100000" sy="100000" kx="0" ky="0" algn="b" rotWithShape="0">
              <a:srgbClr val="000000">
                <a:alpha val="35000"/>
              </a:srgbClr>
            </a:outerShdw>
          </a:effectLst>
        </a:effectStyle>
        <a:effectStyle>
          <a:effectLst>
            <a:outerShdw blurRad="40000" dist="23000" dir="5400000" sx="100000" sy="100000" kx="0" ky="0" algn="b" rotWithShape="0">
              <a:srgbClr val="000000">
                <a:alpha val="35000"/>
              </a:srgbClr>
            </a:outerShdw>
          </a:effectLst>
          <a:scene3d>
            <a:camera prst="orthographicFront">
              <a:rot lat="0" lon="0" rev="0"/>
            </a:camera>
            <a:lightRig rig="threePt" dir="t">
              <a:rot lat="0" lon="0" rev="1200000"/>
            </a:lightRig>
          </a:scene3d>
          <a:sp3d>
            <a:bevelT w="63500" h="25400" prst="circle"/>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xmlns:a="http://schemas.openxmlformats.org/drawingml/2006/main"/>
</a:theme>
</file>

<file path=docProps/app.xml><?xml version="1.0" encoding="utf-8"?>
<Properties xmlns="http://schemas.openxmlformats.org/officeDocument/2006/extended-properties" xmlns:vt="http://schemas.openxmlformats.org/officeDocument/2006/docPropsVTypes">
  <TotalTime>0</TotalTime>
  <Pages>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Ankit Sharma</dc:title>
  <cp:revision>0</cp:revision>
</cp:coreProperties>
</file>