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slo3top-section"/>
        <w:tblW w:w="0" w:type="auto"/>
        <w:tblCellSpacing w:w="0" w:type="dxa"/>
        <w:tblLayout w:type="fixed"/>
        <w:tblCellMar>
          <w:top w:w="0" w:type="dxa"/>
          <w:left w:w="0" w:type="dxa"/>
          <w:bottom w:w="400" w:type="dxa"/>
          <w:right w:w="0" w:type="dxa"/>
        </w:tblCellMar>
        <w:tblLook w:val="05E0"/>
      </w:tblPr>
      <w:tblGrid>
        <w:gridCol w:w="11320"/>
      </w:tblGrid>
      <w:tr>
        <w:tblPrEx>
          <w:tblW w:w="0" w:type="auto"/>
          <w:tblCellSpacing w:w="0" w:type="dxa"/>
          <w:tblLayout w:type="fixed"/>
          <w:tblCellMar>
            <w:top w:w="0" w:type="dxa"/>
            <w:left w:w="0" w:type="dxa"/>
            <w:bottom w:w="400" w:type="dxa"/>
            <w:right w:w="0" w:type="dxa"/>
          </w:tblCellMar>
          <w:tblLook w:val="05E0"/>
        </w:tblPrEx>
        <w:trPr>
          <w:tblCellSpacing w:w="0" w:type="dxa"/>
        </w:trPr>
        <w:tc>
          <w:tcPr>
            <w:tcW w:w="11320" w:type="dxa"/>
            <w:tcMar>
              <w:top w:w="0" w:type="dxa"/>
              <w:left w:w="0" w:type="dxa"/>
              <w:bottom w:w="400" w:type="dxa"/>
              <w:right w:w="0" w:type="dxa"/>
            </w:tcMar>
            <w:vAlign w:val="top"/>
            <w:hideMark/>
          </w:tcPr>
          <w:p>
            <w:pPr>
              <w:pStyle w:val="skn-slo3txt-caps"/>
              <w:pBdr>
                <w:top w:val="none" w:sz="0" w:space="0" w:color="auto"/>
                <w:left w:val="none" w:sz="0" w:space="0" w:color="auto"/>
                <w:bottom w:val="none" w:sz="0" w:space="0" w:color="auto"/>
                <w:right w:val="none" w:sz="0" w:space="0" w:color="auto"/>
              </w:pBdr>
              <w:spacing w:before="0" w:after="0" w:line="640" w:lineRule="atLeast"/>
              <w:ind w:left="0" w:right="0"/>
              <w:rPr>
                <w:rStyle w:val="skn-slo3top-sectionright-box"/>
                <w:rFonts w:ascii="Open Sans" w:eastAsia="Open Sans" w:hAnsi="Open Sans" w:cs="Open Sans"/>
                <w:b/>
                <w:bCs/>
                <w:caps/>
                <w:color w:val="E18926"/>
                <w:sz w:val="48"/>
                <w:szCs w:val="48"/>
                <w:bdr w:val="none" w:sz="0" w:space="0" w:color="auto"/>
                <w:vertAlign w:val="baseline"/>
              </w:rPr>
            </w:pPr>
            <w:r>
              <w:rPr>
                <w:rStyle w:val="span"/>
                <w:rFonts w:ascii="Open Sans" w:eastAsia="Open Sans" w:hAnsi="Open Sans" w:cs="Open Sans"/>
                <w:b/>
                <w:bCs/>
                <w:caps/>
                <w:color w:val="E18926"/>
                <w:sz w:val="48"/>
                <w:szCs w:val="48"/>
              </w:rPr>
              <w:t>Ankit</w:t>
            </w:r>
            <w:r>
              <w:rPr>
                <w:rStyle w:val="skn-slo3top-sectionright-box"/>
                <w:rFonts w:ascii="Open Sans" w:eastAsia="Open Sans" w:hAnsi="Open Sans" w:cs="Open Sans"/>
                <w:b/>
                <w:bCs/>
                <w:caps/>
                <w:color w:val="E18926"/>
                <w:sz w:val="48"/>
                <w:szCs w:val="48"/>
                <w:bdr w:val="none" w:sz="0" w:space="0" w:color="auto"/>
                <w:vertAlign w:val="baseline"/>
              </w:rPr>
              <w:t xml:space="preserve"> </w:t>
            </w:r>
            <w:r>
              <w:rPr>
                <w:rStyle w:val="span"/>
                <w:rFonts w:ascii="Open Sans" w:eastAsia="Open Sans" w:hAnsi="Open Sans" w:cs="Open Sans"/>
                <w:b/>
                <w:bCs/>
                <w:caps/>
                <w:color w:val="E18926"/>
                <w:sz w:val="48"/>
                <w:szCs w:val="48"/>
              </w:rPr>
              <w:t>Sharma</w:t>
            </w:r>
          </w:p>
          <w:p>
            <w:pPr>
              <w:pStyle w:val="skn-slo3txt-caps"/>
              <w:pBdr>
                <w:top w:val="none" w:sz="0" w:space="0" w:color="auto"/>
                <w:left w:val="none" w:sz="0" w:space="0" w:color="auto"/>
                <w:bottom w:val="none" w:sz="0" w:space="0" w:color="auto"/>
                <w:right w:val="none" w:sz="0" w:space="0" w:color="auto"/>
              </w:pBdr>
              <w:spacing w:before="0" w:after="0" w:line="380" w:lineRule="atLeast"/>
              <w:ind w:left="0" w:right="0"/>
              <w:rPr>
                <w:rStyle w:val="skn-slo3top-sectionright-box"/>
                <w:rFonts w:ascii="Open Sans" w:eastAsia="Open Sans" w:hAnsi="Open Sans" w:cs="Open Sans"/>
                <w:b/>
                <w:bCs/>
                <w:caps/>
                <w:color w:val="050505"/>
                <w:sz w:val="28"/>
                <w:szCs w:val="28"/>
                <w:bdr w:val="none" w:sz="0" w:space="0" w:color="auto"/>
                <w:vertAlign w:val="baseline"/>
              </w:rPr>
            </w:pPr>
            <w:r>
              <w:rPr>
                <w:rStyle w:val="span"/>
                <w:rFonts w:ascii="Open Sans" w:eastAsia="Open Sans" w:hAnsi="Open Sans" w:cs="Open Sans"/>
                <w:b/>
                <w:bCs/>
                <w:caps/>
                <w:color w:val="050505"/>
                <w:sz w:val="28"/>
                <w:szCs w:val="28"/>
              </w:rPr>
              <w:t>Fund Accountant</w:t>
            </w:r>
          </w:p>
          <w:p>
            <w:pPr>
              <w:pBdr>
                <w:top w:val="none" w:sz="0" w:space="0" w:color="auto"/>
                <w:left w:val="none" w:sz="0" w:space="0" w:color="auto"/>
                <w:bottom w:val="none" w:sz="0" w:space="0" w:color="auto"/>
                <w:right w:val="none" w:sz="0" w:space="0" w:color="auto"/>
              </w:pBdr>
              <w:spacing w:after="0" w:line="6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 </w:t>
            </w:r>
            <w:r>
              <w:rPr>
                <w:rStyle w:val="skn-slo3top-sectionright-box"/>
                <w:rFonts w:ascii="Open Sans" w:eastAsia="Open Sans" w:hAnsi="Open Sans" w:cs="Open Sans"/>
                <w:color w:val="050505"/>
                <w:sz w:val="20"/>
                <w:szCs w:val="20"/>
                <w:bdr w:val="none" w:sz="0" w:space="0" w:color="auto"/>
                <w:vertAlign w:val="baseline"/>
              </w:rPr>
              <w:drawing>
                <wp:inline>
                  <wp:extent cx="7598560" cy="13318"/>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598560" cy="13318"/>
                          </a:xfrm>
                          <a:prstGeom prst="rect">
                            <a:avLst/>
                          </a:prstGeom>
                        </pic:spPr>
                      </pic:pic>
                    </a:graphicData>
                  </a:graphic>
                </wp:inline>
              </w:drawing>
            </w:r>
          </w:p>
          <w:p>
            <w:pPr>
              <w:pBdr>
                <w:top w:val="none" w:sz="0" w:space="0" w:color="auto"/>
                <w:left w:val="none" w:sz="0" w:space="0" w:color="auto"/>
                <w:bottom w:val="none" w:sz="0" w:space="0" w:color="auto"/>
                <w:right w:val="none" w:sz="0" w:space="0" w:color="auto"/>
              </w:pBdr>
              <w:spacing w:line="400" w:lineRule="exact"/>
              <w:ind w:left="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+91</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98765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43210</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top-sectionright-box"/>
                <w:rFonts w:ascii="Open Sans" w:eastAsia="Open Sans" w:hAnsi="Open Sans" w:cs="Open Sans"/>
                <w:color w:val="050505"/>
                <w:sz w:val="20"/>
                <w:szCs w:val="20"/>
                <w:bdr w:val="none" w:sz="0" w:space="0" w:color="auto"/>
                <w:vertAlign w:val="baseline"/>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8240" behindDoc="0" locked="0" layoutInCell="1" allowOverlap="1">
                  <wp:simplePos x="0" y="0"/>
                  <wp:positionH relativeFrom="character">
                    <wp:posOffset>0</wp:posOffset>
                  </wp:positionH>
                  <wp:positionV relativeFrom="line">
                    <wp:posOffset>120689</wp:posOffset>
                  </wp:positionV>
                  <wp:extent cx="64041" cy="102158"/>
                  <wp:wrapNone/>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ankit.sharma@example.com</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t> </w:t>
            </w:r>
            <w:r>
              <w:rPr>
                <w:rStyle w:val="skn-slo3ulli"/>
                <w:rFonts w:ascii="Open Sans" w:eastAsia="Open Sans" w:hAnsi="Open Sans" w:cs="Open Sans"/>
                <w:color w:val="050505"/>
                <w:sz w:val="20"/>
                <w:szCs w:val="20"/>
              </w:rPr>
              <w:drawing>
                <wp:anchor simplePos="0" relativeHeight="251659264" behindDoc="0" locked="0" layoutInCell="1" allowOverlap="1">
                  <wp:simplePos x="0" y="0"/>
                  <wp:positionH relativeFrom="character">
                    <wp:posOffset>0</wp:posOffset>
                  </wp:positionH>
                  <wp:positionV relativeFrom="line">
                    <wp:posOffset>120689</wp:posOffset>
                  </wp:positionV>
                  <wp:extent cx="64041" cy="102158"/>
                  <wp:wrapNone/>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Maharashtra</w:t>
            </w:r>
            <w:r>
              <w:rPr>
                <w:rStyle w:val="skn-slo3ulli"/>
                <w:rFonts w:ascii="Open Sans" w:eastAsia="Open Sans" w:hAnsi="Open Sans" w:cs="Open Sans"/>
                <w:color w:val="050505"/>
                <w:sz w:val="20"/>
                <w:szCs w:val="20"/>
              </w:rPr>
              <w:t> </w:t>
            </w:r>
            <w:r>
              <w:rPr>
                <w:rStyle w:val="span"/>
                <w:rFonts w:ascii="Open Sans" w:eastAsia="Open Sans" w:hAnsi="Open Sans" w:cs="Open Sans"/>
                <w:color w:val="050505"/>
                <w:sz w:val="20"/>
                <w:szCs w:val="20"/>
              </w:rPr>
              <w:t>400069</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t> </w:t>
            </w:r>
            <w:r>
              <w:rPr>
                <w:rStyle w:val="skn-slo3ullinth-last-child1"/>
                <w:rFonts w:ascii="Open Sans" w:eastAsia="Open Sans" w:hAnsi="Open Sans" w:cs="Open Sans"/>
                <w:color w:val="050505"/>
                <w:sz w:val="20"/>
                <w:szCs w:val="20"/>
              </w:rPr>
              <w:drawing>
                <wp:anchor simplePos="0" relativeHeight="251660288" behindDoc="0" locked="0" layoutInCell="1" allowOverlap="1">
                  <wp:simplePos x="0" y="0"/>
                  <wp:positionH relativeFrom="character">
                    <wp:posOffset>0</wp:posOffset>
                  </wp:positionH>
                  <wp:positionV relativeFrom="line">
                    <wp:posOffset>120689</wp:posOffset>
                  </wp:positionV>
                  <wp:extent cx="64041" cy="102158"/>
                  <wp:wrapNone/>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5"/>
                          <a:stretch>
                            <a:fillRect/>
                          </a:stretch>
                        </pic:blipFill>
                        <pic:spPr>
                          <a:xfrm>
                            <a:off x="0" y="0"/>
                            <a:ext cx="64041" cy="102158"/>
                          </a:xfrm>
                          <a:prstGeom prst="rect">
                            <a:avLst/>
                          </a:prstGeom>
                        </pic:spPr>
                      </pic:pic>
                    </a:graphicData>
                  </a:graphic>
                </wp:anchor>
              </w:drawing>
            </w:r>
            <w:r>
              <w:rPr>
                <w:rStyle w:val="bluebullet"/>
                <w:color w:val="050505"/>
              </w:rPr>
              <w:t> </w:t>
            </w:r>
            <w:r>
              <w:rPr>
                <w:rStyle w:val="spacebeforebulletcntc"/>
                <w:color w:val="050505"/>
              </w:rPr>
              <w:t> </w:t>
            </w:r>
            <w:r>
              <w:rPr>
                <w:rStyle w:val="spacebeforebulletcntc"/>
                <w:color w:val="050505"/>
              </w:rPr>
              <w:t> </w:t>
            </w:r>
            <w:r>
              <w:rPr>
                <w:rStyle w:val="spacebeforebulletcntc"/>
                <w:color w:val="050505"/>
              </w:rPr>
              <w:t> </w:t>
            </w:r>
            <w:r>
              <w:rPr>
                <w:rStyle w:val="skn-slo3ullinth-last-child1"/>
                <w:rFonts w:ascii="Open Sans" w:eastAsia="Open Sans" w:hAnsi="Open Sans" w:cs="Open Sans"/>
                <w:color w:val="050505"/>
                <w:sz w:val="20"/>
                <w:szCs w:val="20"/>
              </w:rPr>
              <w:t> </w:t>
            </w:r>
            <w:r>
              <w:rPr>
                <w:rStyle w:val="span"/>
                <w:rFonts w:ascii="Open Sans" w:eastAsia="Open Sans" w:hAnsi="Open Sans" w:cs="Open Sans"/>
                <w:color w:val="050505"/>
                <w:sz w:val="20"/>
                <w:szCs w:val="20"/>
              </w:rPr>
              <w:t>12</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September</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1995</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w:t>
            </w:r>
            <w:r>
              <w:rPr>
                <w:rStyle w:val="span"/>
                <w:rFonts w:ascii="Open Sans" w:eastAsia="Open Sans" w:hAnsi="Open Sans" w:cs="Open Sans"/>
                <w:color w:val="050505"/>
                <w:sz w:val="20"/>
                <w:szCs w:val="20"/>
              </w:rPr>
              <w:t xml:space="preserve"> </w:t>
            </w:r>
            <w:r>
              <w:rPr>
                <w:rStyle w:val="skn-slo3ullinth-last-child1"/>
                <w:rFonts w:ascii="Open Sans" w:eastAsia="Open Sans" w:hAnsi="Open Sans" w:cs="Open Sans"/>
                <w:color w:val="050505"/>
                <w:sz w:val="20"/>
                <w:szCs w:val="20"/>
              </w:rPr>
              <w:t xml:space="preserve"> </w:t>
            </w:r>
          </w:p>
        </w:tc>
      </w:tr>
    </w:tbl>
    <w:p>
      <w:pPr>
        <w:pStyle w:val="skn-slo3section-title"/>
        <w:pBdr>
          <w:top w:val="none" w:sz="0" w:space="0" w:color="auto"/>
          <w:left w:val="none" w:sz="0" w:space="0" w:color="auto"/>
          <w:bottom w:val="none" w:sz="0" w:space="0" w:color="auto"/>
          <w:right w:val="none" w:sz="0" w:space="0" w:color="auto"/>
        </w:pBdr>
        <w:spacing w:before="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Professional Summary</w:t>
      </w:r>
    </w:p>
    <w:p>
      <w:pPr>
        <w:pStyle w:val="skn-slo3singlecolumn"/>
        <w:pBdr>
          <w:top w:val="none" w:sz="0" w:space="0" w:color="auto"/>
          <w:left w:val="none" w:sz="0" w:space="0" w:color="auto"/>
          <w:bottom w:val="none" w:sz="0" w:space="0" w:color="auto"/>
          <w:right w:val="none" w:sz="0" w:space="0" w:color="auto"/>
        </w:pBdr>
        <w:spacing w:before="0" w:after="0" w:line="30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pTo work as a Fund Accountant where I can manage NAV calculations, fund reporting, and compliance while ensuring accuracy and timely delivery./ppFund Accountant with nearly five years of experience supporting mutual funds and alternative investment funds. Strong exposure to NAV computation, portfolio valuation, and investor reporting. Experienced in coordinating with custodians, auditors, and internal teams. Good understanding of SEBI regulations, fund accounting standards, and month-end close processes. Known for attention to detail, consistency, and meeting strict reporting deadlines./p</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Skills</w:t>
      </w:r>
    </w:p>
    <w:tbl>
      <w:tblPr>
        <w:tblW w:w="10860" w:type="dxa"/>
        <w:jc w:val="left"/>
        <w:tblInd w:w="460" w:type="dxa"/>
        <w:tblCellMar>
          <w:left w:w="108" w:type="dxa"/>
          <w:right w:w="108" w:type="dxa"/>
        </w:tblCellMar>
      </w:tblPr>
      <w:tblGrid>
        <w:gridCol w:w="5046"/>
        <w:gridCol w:w="780"/>
        <w:gridCol w:w="5034"/>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NAV Calculation</w:t>
            </w:r>
          </w:p>
        </w:tc>
        <w:tc>
          <w:tcPr>
            <w:tcW w:w="600" w:type="dxa"/>
            <w:tcMar>
              <w:bottom w:w="100" w:type="dxa"/>
            </w:tcMar>
          </w:tcPr>
          <w:p/>
        </w:tc>
        <w:tc>
          <w:tcPr>
            <w:tcW w:w="5130" w:type="dxa"/>
            <w:tcMar>
              <w:left w:w="0" w:type="dxa"/>
            </w:tcMar>
          </w:tcPr>
          <w:p>
            <w:pPr>
              <w:pStyle w:val="p"/>
              <w:numPr>
                <w:ilvl w:val="0"/>
                <w:numId w:val="2"/>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Fund Accounting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Portfolio Valuation</w:t>
            </w:r>
          </w:p>
        </w:tc>
        <w:tc>
          <w:tcPr>
            <w:tcW w:w="600" w:type="dxa"/>
            <w:tcMar>
              <w:bottom w:w="100" w:type="dxa"/>
            </w:tcMar>
          </w:tcPr>
          <w:p/>
        </w:tc>
        <w:tc>
          <w:tcPr>
            <w:tcW w:w="5130" w:type="dxa"/>
            <w:tcMar>
              <w:left w:w="0" w:type="dxa"/>
            </w:tcMar>
          </w:tcPr>
          <w:p>
            <w:pPr>
              <w:pStyle w:val="p"/>
              <w:numPr>
                <w:ilvl w:val="0"/>
                <w:numId w:val="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Financial Reporting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Reconciliation</w:t>
            </w:r>
          </w:p>
        </w:tc>
        <w:tc>
          <w:tcPr>
            <w:tcW w:w="600" w:type="dxa"/>
            <w:tcMar>
              <w:bottom w:w="100" w:type="dxa"/>
            </w:tcMar>
          </w:tcPr>
          <w:p/>
        </w:tc>
        <w:tc>
          <w:tcPr>
            <w:tcW w:w="5130" w:type="dxa"/>
            <w:tcMar>
              <w:left w:w="0" w:type="dxa"/>
            </w:tcMar>
          </w:tcPr>
          <w:p>
            <w:pPr>
              <w:pStyle w:val="p"/>
              <w:numPr>
                <w:ilvl w:val="0"/>
                <w:numId w:val="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Investor Reporting</w:t>
            </w:r>
          </w:p>
        </w:tc>
      </w:tr>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7"/>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Audit Support</w:t>
            </w:r>
          </w:p>
        </w:tc>
        <w:tc>
          <w:tcPr>
            <w:tcW w:w="600" w:type="dxa"/>
            <w:tcMar>
              <w:bottom w:w="100" w:type="dxa"/>
            </w:tcMar>
          </w:tcPr>
          <w:p/>
        </w:tc>
        <w:tc>
          <w:tcPr>
            <w:tcW w:w="5130" w:type="dxa"/>
            <w:tcMar>
              <w:left w:w="0" w:type="dxa"/>
            </w:tcMar>
          </w:tcPr>
          <w:p>
            <w:pPr>
              <w:pStyle w:val="p"/>
              <w:numPr>
                <w:ilvl w:val="0"/>
                <w:numId w:val="8"/>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SEBI Compliance</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9"/>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Expense Accruals</w:t>
            </w:r>
          </w:p>
        </w:tc>
        <w:tc>
          <w:tcPr>
            <w:tcW w:w="600" w:type="dxa"/>
            <w:tcMar>
              <w:bottom w:w="0" w:type="dxa"/>
            </w:tcMar>
          </w:tcPr>
          <w:p/>
        </w:tc>
        <w:tc>
          <w:tcPr>
            <w:tcW w:w="5130" w:type="dxa"/>
            <w:tcMar>
              <w:left w:w="0" w:type="dxa"/>
              <w:bottom w:w="0" w:type="dxa"/>
            </w:tcMar>
          </w:tcPr>
          <w:p>
            <w:pPr>
              <w:pStyle w:val="p"/>
              <w:numPr>
                <w:ilvl w:val="0"/>
                <w:numId w:val="10"/>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Accounting Systems</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Experience</w:t>
      </w: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timeline-svg"/>
                <w:rFonts w:ascii="Open Sans" w:eastAsia="Open Sans" w:hAnsi="Open Sans" w:cs="Open Sans"/>
                <w:color w:val="050505"/>
                <w:sz w:val="20"/>
                <w:szCs w:val="20"/>
                <w:bdr w:val="none" w:sz="0" w:space="0" w:color="auto"/>
                <w:vertAlign w:val="baseline"/>
              </w:rPr>
            </w:pPr>
            <w:r>
              <w:rPr>
                <w:rStyle w:val="skn-slo3sectionexpr-secparlrColmntimeline-svg"/>
                <w:rFonts w:ascii="Open Sans" w:eastAsia="Open Sans" w:hAnsi="Open Sans" w:cs="Open Sans"/>
                <w:color w:val="050505"/>
                <w:sz w:val="20"/>
                <w:szCs w:val="20"/>
                <w:bdr w:val="none" w:sz="0" w:space="0" w:color="auto"/>
                <w:vertAlign w:val="baseline"/>
              </w:rPr>
              <w:drawing>
                <wp:anchor simplePos="0" relativeHeight="251661312" behindDoc="0" locked="0" layoutInCell="1" allowOverlap="1">
                  <wp:simplePos x="0" y="0"/>
                  <wp:positionH relativeFrom="column">
                    <wp:posOffset>-50800</wp:posOffset>
                  </wp:positionH>
                  <wp:positionV relativeFrom="paragraph">
                    <wp:posOffset>-25400</wp:posOffset>
                  </wp:positionV>
                  <wp:extent cx="89410" cy="190998"/>
                  <wp:wrapNone/>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p>
            <w:pPr>
              <w:pStyle w:val="skn-slo3disp-block"/>
              <w:spacing w:before="0" w:after="0" w:line="280" w:lineRule="atLeas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Fund Accountant</w:t>
            </w:r>
            <w:r>
              <w:rPr>
                <w:rStyle w:val="spacebeforecomp"/>
                <w:color w:val="050505"/>
              </w:rPr>
              <w:t>  </w:t>
            </w:r>
            <w:r>
              <w:rPr>
                <w:rStyle w:val="skn-slo3color-support"/>
                <w:rFonts w:ascii="Open Sans" w:eastAsia="Open Sans" w:hAnsi="Open Sans" w:cs="Open Sans"/>
                <w:sz w:val="20"/>
                <w:szCs w:val="20"/>
              </w:rPr>
              <w:t>Nova Fund Services Pvt.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kn-slo3txt-capsCharacter"/>
                      <w:rFonts w:ascii="Open Sans" w:eastAsia="Open Sans" w:hAnsi="Open Sans" w:cs="Open Sans"/>
                      <w:caps/>
                      <w:color w:val="050505"/>
                      <w:sz w:val="20"/>
                      <w:szCs w:val="20"/>
                    </w:rPr>
                    <w:t>Maharashtra</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August 2021</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Present</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 </w:t>
            </w:r>
          </w:p>
          <w:tbl>
            <w:tblPr>
              <w:tblW w:w="10830" w:type="dxa"/>
              <w:jc w:val="left"/>
              <w:tblInd w:w="100" w:type="dxa"/>
              <w:tblLayout w:type="fixed"/>
              <w:tblCellMar>
                <w:left w:w="108" w:type="dxa"/>
                <w:right w:w="108" w:type="dxa"/>
              </w:tblCellMar>
            </w:tblPr>
            <w:tblGrid>
              <w:gridCol w:w="5115"/>
              <w:gridCol w:w="600"/>
              <w:gridCol w:w="5115"/>
            </w:tblGrid>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before="0"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Calculated daily and monthly NAV for multiple mutual fund schemes following approved valuation and pricing policies.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Performed portfolio valuation checks using prices from custodians and valuation agencies for equity and debt instruments.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Prepared fund financial statements and schedules for internal review and statutory audit requirements.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Coordinated with custodians to resolve cash, holding, and corporate action related reconciliation differences.</w:t>
                  </w:r>
                </w:p>
              </w:tc>
            </w:tr>
            <w:tr>
              <w:tblPrEx>
                <w:tblW w:w="10830" w:type="dxa"/>
                <w:jc w:val="left"/>
                <w:tblInd w:w="100" w:type="dxa"/>
                <w:tblLayout w:type="fixed"/>
                <w:tblCellMar>
                  <w:left w:w="108" w:type="dxa"/>
                  <w:right w:w="108" w:type="dxa"/>
                </w:tblCellMar>
              </w:tblPrEx>
              <w:trPr>
                <w:jc w:val="left"/>
              </w:trPr>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Processed expense accruals and ensured accurate allocation across schemes as per fund agreements.</w:t>
                  </w:r>
                </w:p>
              </w:tc>
              <w:tc>
                <w:tcPr>
                  <w:tcW w:w="600" w:type="dxa"/>
                  <w:tcMar>
                    <w:bottom w:w="100" w:type="dxa"/>
                  </w:tcMar>
                </w:tcPr>
                <w:p/>
              </w:tc>
              <w:tc>
                <w:tcPr>
                  <w:tcW w:w="5115" w:type="dxa"/>
                  <w:tcMar>
                    <w:left w:w="0" w:type="dxa"/>
                  </w:tcMar>
                </w:tcPr>
                <w:p>
                  <w:pPr>
                    <w:pStyle w:val="skn-slo3ulliParagraph"/>
                    <w:numPr>
                      <w:ilvl w:val="0"/>
                      <w:numId w:val="11"/>
                    </w:numPr>
                    <w:tabs>
                      <w:tab w:val="left" w:pos="400"/>
                    </w:tabs>
                    <w:spacing w:after="10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Supported investor reporting by preparing capital account statements and periodic performance summaries.</w:t>
                  </w:r>
                </w:p>
              </w:tc>
            </w:tr>
            <w:tr>
              <w:tblPrEx>
                <w:tblW w:w="10830" w:type="dxa"/>
                <w:jc w:val="left"/>
                <w:tblInd w:w="100" w:type="dxa"/>
                <w:tblLayout w:type="fixed"/>
                <w:tblCellMar>
                  <w:left w:w="108" w:type="dxa"/>
                  <w:right w:w="108" w:type="dxa"/>
                </w:tblCellMar>
              </w:tblPrEx>
              <w:trPr>
                <w:jc w:val="left"/>
              </w:trPr>
              <w:tc>
                <w:tcPr>
                  <w:tcW w:w="5115" w:type="dxa"/>
                  <w:tcMar>
                    <w:left w:w="0" w:type="dxa"/>
                    <w:bottom w:w="0" w:type="dxa"/>
                  </w:tcMar>
                </w:tcPr>
                <w:p>
                  <w:pPr>
                    <w:pStyle w:val="skn-slo3ullinth-last-child1Paragraph"/>
                    <w:numPr>
                      <w:ilvl w:val="0"/>
                      <w:numId w:val="11"/>
                    </w:numPr>
                    <w:tabs>
                      <w:tab w:val="left" w:pos="400"/>
                    </w:tabs>
                    <w:spacing w:after="0" w:line="280" w:lineRule="atLeast"/>
                    <w:ind w:left="400" w:right="0" w:hanging="400"/>
                    <w:rPr>
                      <w:rStyle w:val="skn-slo3sectionexpr-secparlrColmnsinglecolumn"/>
                      <w:rFonts w:ascii="Open Sans" w:eastAsia="Open Sans" w:hAnsi="Open Sans" w:cs="Open Sans"/>
                      <w:color w:val="050505"/>
                      <w:sz w:val="20"/>
                      <w:szCs w:val="20"/>
                      <w:bdr w:val="none" w:sz="0" w:space="0" w:color="auto"/>
                      <w:vertAlign w:val="baseline"/>
                    </w:rPr>
                  </w:pPr>
                  <w:r>
                    <w:rPr>
                      <w:rStyle w:val="skn-slo3sectionexpr-secparlrColmnsinglecolumn"/>
                      <w:rFonts w:ascii="Open Sans" w:eastAsia="Open Sans" w:hAnsi="Open Sans" w:cs="Open Sans"/>
                      <w:color w:val="050505"/>
                      <w:sz w:val="20"/>
                      <w:szCs w:val="20"/>
                      <w:bdr w:val="none" w:sz="0" w:space="0" w:color="auto"/>
                      <w:vertAlign w:val="baseline"/>
                    </w:rPr>
                    <w:t>Ensured compliance with SEBI guidelines and internal controls during fund accounting and reporting cycles.</w:t>
                  </w:r>
                </w:p>
              </w:tc>
              <w:tc>
                <w:tcPr>
                  <w:tcW w:w="600" w:type="dxa"/>
                  <w:tcMar>
                    <w:bottom w:w="0" w:type="dxa"/>
                  </w:tcMar>
                </w:tcPr>
                <w:p/>
              </w:tc>
              <w:tc>
                <w:tcPr>
                  <w:tcW w:w="5115" w:type="dxa"/>
                  <w:tcMar>
                    <w:bottom w:w="0" w:type="dxa"/>
                  </w:tcMar>
                </w:tcPr>
                <w:p/>
              </w:tc>
            </w:tr>
          </w:tbl>
          <w:p/>
        </w:tc>
      </w:tr>
    </w:tbl>
    <w:p>
      <w:pPr>
        <w:rPr>
          <w:vanish/>
        </w:rPr>
      </w:pPr>
    </w:p>
    <w:tbl>
      <w:tblPr>
        <w:tblStyle w:val="skn-slo3sectionexpr-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xpr-secparlrColmnparagraphnth-last-child1timeline-svg"/>
                <w:rFonts w:ascii="Open Sans" w:eastAsia="Open Sans" w:hAnsi="Open Sans" w:cs="Open Sans"/>
                <w:color w:val="050505"/>
                <w:sz w:val="20"/>
                <w:szCs w:val="20"/>
                <w:bdr w:val="none" w:sz="0" w:space="0" w:color="auto"/>
                <w:vertAlign w:val="baseline"/>
              </w:rPr>
            </w:pPr>
            <w:r>
              <w:rPr>
                <w:rStyle w:val="skn-slo3sectionexpr-secparlrColmnparagraphnth-last-child1timeline-svg"/>
                <w:rFonts w:ascii="Open Sans" w:eastAsia="Open Sans" w:hAnsi="Open Sans" w:cs="Open Sans"/>
                <w:color w:val="050505"/>
                <w:sz w:val="20"/>
                <w:szCs w:val="20"/>
                <w:bdr w:val="none" w:sz="0" w:space="0" w:color="auto"/>
                <w:vertAlign w:val="baseline"/>
              </w:rPr>
              <w:drawing>
                <wp:anchor simplePos="0" relativeHeight="251662336" behindDoc="0" locked="0" layoutInCell="1" allowOverlap="1">
                  <wp:simplePos x="0" y="0"/>
                  <wp:positionH relativeFrom="column">
                    <wp:posOffset>-50800</wp:posOffset>
                  </wp:positionH>
                  <wp:positionV relativeFrom="paragraph">
                    <wp:posOffset>25400</wp:posOffset>
                  </wp:positionV>
                  <wp:extent cx="89410" cy="127540"/>
                  <wp:wrapNone/>
                  <wp:docPr id="10001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1"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p>
            <w:pPr>
              <w:pStyle w:val="skn-slo3disp-block"/>
              <w:spacing w:before="0" w:after="0" w:line="280" w:lineRule="atLeas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txt-capsCharacter"/>
                <w:rFonts w:ascii="Open Sans" w:eastAsia="Open Sans" w:hAnsi="Open Sans" w:cs="Open Sans"/>
                <w:b/>
                <w:bCs/>
                <w:caps/>
                <w:color w:val="050505"/>
                <w:sz w:val="20"/>
                <w:szCs w:val="20"/>
              </w:rPr>
              <w:t>Assistant Fund Accountant</w:t>
            </w:r>
            <w:r>
              <w:rPr>
                <w:rStyle w:val="spacebeforecomp"/>
                <w:color w:val="050505"/>
              </w:rPr>
              <w:t>  </w:t>
            </w:r>
            <w:r>
              <w:rPr>
                <w:rStyle w:val="skn-slo3color-support"/>
                <w:rFonts w:ascii="Open Sans" w:eastAsia="Open Sans" w:hAnsi="Open Sans" w:cs="Open Sans"/>
                <w:sz w:val="20"/>
                <w:szCs w:val="20"/>
              </w:rPr>
              <w:t>Crestview Investment Solutions Ltd.</w:t>
            </w:r>
          </w:p>
          <w:tbl>
            <w:tblPr>
              <w:tblStyle w:val="skn-slo3sectionexpr-sectbl-upper"/>
              <w:tblCellSpacing w:w="0" w:type="dxa"/>
              <w:tblInd w:w="0" w:type="dxa"/>
              <w:tblLayout w:type="fixed"/>
              <w:tblCellMar>
                <w:top w:w="0" w:type="dxa"/>
                <w:left w:w="0" w:type="dxa"/>
                <w:bottom w:w="0" w:type="dxa"/>
                <w:right w:w="0" w:type="dxa"/>
              </w:tblCellMar>
              <w:tblLook w:val="05E0"/>
            </w:tblPr>
            <w:tblGrid>
              <w:gridCol w:w="6680"/>
              <w:gridCol w:w="200"/>
              <w:gridCol w:w="406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68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pan"/>
                      <w:rFonts w:ascii="Open Sans" w:eastAsia="Open Sans" w:hAnsi="Open Sans" w:cs="Open Sans"/>
                      <w:color w:val="050505"/>
                      <w:sz w:val="20"/>
                      <w:szCs w:val="20"/>
                    </w:rPr>
                  </w:pPr>
                  <w:r>
                    <w:rPr>
                      <w:rStyle w:val="span"/>
                      <w:rFonts w:ascii="Open Sans" w:eastAsia="Open Sans" w:hAnsi="Open Sans" w:cs="Open Sans"/>
                      <w:color w:val="050505"/>
                      <w:sz w:val="20"/>
                      <w:szCs w:val="20"/>
                    </w:rPr>
                    <w:t>Gurugram</w:t>
                  </w:r>
                  <w:r>
                    <w:rPr>
                      <w:rStyle w:val="singlecolumnspanpaddedlinenth-child1"/>
                      <w:rFonts w:ascii="Open Sans" w:eastAsia="Open Sans" w:hAnsi="Open Sans" w:cs="Open Sans"/>
                      <w:color w:val="050505"/>
                      <w:sz w:val="20"/>
                      <w:szCs w:val="20"/>
                    </w:rPr>
                    <w:t xml:space="preserve"> </w:t>
                  </w:r>
                </w:p>
              </w:tc>
              <w:tc>
                <w:tcPr>
                  <w:tcW w:w="200" w:type="dxa"/>
                  <w:tcMar>
                    <w:top w:w="0" w:type="dxa"/>
                    <w:left w:w="0" w:type="dxa"/>
                    <w:bottom w:w="0" w:type="dxa"/>
                    <w:right w:w="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inglecolumnspanpaddedlinenth-child1"/>
                      <w:rFonts w:ascii="Open Sans" w:eastAsia="Open Sans" w:hAnsi="Open Sans" w:cs="Open Sans"/>
                      <w:color w:val="050505"/>
                      <w:sz w:val="20"/>
                      <w:szCs w:val="20"/>
                    </w:rPr>
                  </w:pPr>
                  <w:r>
                    <w:rPr>
                      <w:rStyle w:val="skn-slo3sectionexpr-sectbl-upperpaddingcell"/>
                      <w:rFonts w:ascii="Open Sans" w:eastAsia="Open Sans" w:hAnsi="Open Sans" w:cs="Open Sans"/>
                      <w:color w:val="050505"/>
                      <w:sz w:val="20"/>
                      <w:szCs w:val="20"/>
                      <w:bdr w:val="none" w:sz="0" w:space="0" w:color="auto"/>
                      <w:vertAlign w:val="baseline"/>
                    </w:rPr>
                    <w:t> </w:t>
                  </w:r>
                </w:p>
              </w:tc>
              <w:tc>
                <w:tcPr>
                  <w:tcW w:w="4060" w:type="dxa"/>
                  <w:tcMar>
                    <w:top w:w="0" w:type="dxa"/>
                    <w:left w:w="0" w:type="dxa"/>
                    <w:bottom w:w="0" w:type="dxa"/>
                    <w:right w:w="20" w:type="dxa"/>
                  </w:tcMar>
                  <w:vAlign w:val="bottom"/>
                  <w:hideMark/>
                </w:tcPr>
                <w:p>
                  <w:pPr>
                    <w:pBdr>
                      <w:top w:val="none" w:sz="0" w:space="0" w:color="auto"/>
                      <w:left w:val="none" w:sz="0" w:space="0" w:color="auto"/>
                      <w:bottom w:val="none" w:sz="0" w:space="0" w:color="auto"/>
                      <w:right w:val="none" w:sz="0" w:space="0" w:color="auto"/>
                    </w:pBdr>
                    <w:spacing w:line="280" w:lineRule="atLeast"/>
                    <w:ind w:left="100" w:right="0"/>
                    <w:jc w:val="right"/>
                    <w:textAlignment w:val="auto"/>
                    <w:rPr>
                      <w:rStyle w:val="skn-slo3sectionexpr-sectbl-upper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June 2018</w:t>
                  </w:r>
                  <w:r>
                    <w:rPr>
                      <w:rStyle w:val="span"/>
                      <w:rFonts w:ascii="Open Sans" w:eastAsia="Open Sans" w:hAnsi="Open Sans" w:cs="Open Sans"/>
                      <w:i/>
                      <w:iCs/>
                      <w:color w:val="050505"/>
                      <w:sz w:val="20"/>
                      <w:szCs w:val="20"/>
                    </w:rPr>
                    <w:t xml:space="preserve"> - </w:t>
                  </w:r>
                  <w:r>
                    <w:rPr>
                      <w:rStyle w:val="span"/>
                      <w:rFonts w:ascii="Open Sans" w:eastAsia="Open Sans" w:hAnsi="Open Sans" w:cs="Open Sans"/>
                      <w:i/>
                      <w:iCs/>
                      <w:color w:val="050505"/>
                      <w:sz w:val="20"/>
                      <w:szCs w:val="20"/>
                    </w:rPr>
                    <w:t>July 2021</w:t>
                  </w:r>
                  <w:r>
                    <w:rPr>
                      <w:rStyle w:val="skn-slo3txt-itl"/>
                      <w:rFonts w:ascii="Open Sans" w:eastAsia="Open Sans" w:hAnsi="Open Sans" w:cs="Open Sans"/>
                      <w:i/>
                      <w:iCs/>
                      <w:color w:val="050505"/>
                      <w:sz w:val="20"/>
                      <w:szCs w:val="20"/>
                    </w:rPr>
                    <w:t xml:space="preserve"> </w:t>
                  </w:r>
                </w:p>
              </w:tc>
            </w:tr>
          </w:tbl>
          <w:p>
            <w:pPr>
              <w:pStyle w:val="div"/>
              <w:pBdr>
                <w:top w:val="none" w:sz="0" w:space="0" w:color="auto"/>
                <w:left w:val="none" w:sz="0" w:space="0" w:color="auto"/>
                <w:bottom w:val="none" w:sz="0" w:space="0" w:color="auto"/>
                <w:right w:val="none" w:sz="0" w:space="0" w:color="auto"/>
              </w:pBdr>
              <w:spacing w:before="0" w:after="0" w:line="240" w:lineRule="exact"/>
              <w:ind w:left="100" w:right="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 </w:t>
            </w:r>
          </w:p>
          <w:tbl>
            <w:tblPr>
              <w:tblW w:w="10840" w:type="dxa"/>
              <w:jc w:val="left"/>
              <w:tblInd w:w="100" w:type="dxa"/>
              <w:tblLayout w:type="fixed"/>
              <w:tblCellMar>
                <w:left w:w="108" w:type="dxa"/>
                <w:right w:w="108" w:type="dxa"/>
              </w:tblCellMar>
            </w:tblPr>
            <w:tblGrid>
              <w:gridCol w:w="5120"/>
              <w:gridCol w:w="600"/>
              <w:gridCol w:w="5120"/>
            </w:tblGrid>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before="0"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Assisted in daily NAV computation activities and verified inputs received from portfolio management teams.</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Maintained fund accounting records including subscriptions, redemptions, and income accrual entries.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Performed bank, cash, and unit capital reconciliations on a regular reporting schedule.</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Supported preparation of monthly MIS reports highlighting fund performance and expense trends.</w:t>
                  </w:r>
                </w:p>
              </w:tc>
            </w:tr>
            <w:tr>
              <w:tblPrEx>
                <w:tblW w:w="10840" w:type="dxa"/>
                <w:jc w:val="left"/>
                <w:tblInd w:w="100" w:type="dxa"/>
                <w:tblLayout w:type="fixed"/>
                <w:tblCellMar>
                  <w:left w:w="108" w:type="dxa"/>
                  <w:right w:w="108" w:type="dxa"/>
                </w:tblCellMar>
              </w:tblPrEx>
              <w:trPr>
                <w:jc w:val="left"/>
              </w:trPr>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Coordinated with auditors during annual audits by providing supporting schedules and explanations.</w:t>
                  </w:r>
                </w:p>
              </w:tc>
              <w:tc>
                <w:tcPr>
                  <w:tcW w:w="600" w:type="dxa"/>
                  <w:tcMar>
                    <w:bottom w:w="100" w:type="dxa"/>
                  </w:tcMar>
                </w:tcPr>
                <w:p/>
              </w:tc>
              <w:tc>
                <w:tcPr>
                  <w:tcW w:w="5120" w:type="dxa"/>
                  <w:tcMar>
                    <w:left w:w="0" w:type="dxa"/>
                  </w:tcMar>
                </w:tcPr>
                <w:p>
                  <w:pPr>
                    <w:pStyle w:val="skn-slo3ulliParagraph"/>
                    <w:numPr>
                      <w:ilvl w:val="0"/>
                      <w:numId w:val="12"/>
                    </w:numPr>
                    <w:tabs>
                      <w:tab w:val="left" w:pos="400"/>
                    </w:tabs>
                    <w:spacing w:after="10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Helped in maintaining investor data and ensuring timely processing of investor transactions.</w:t>
                  </w:r>
                </w:p>
              </w:tc>
            </w:tr>
            <w:tr>
              <w:tblPrEx>
                <w:tblW w:w="10840" w:type="dxa"/>
                <w:jc w:val="left"/>
                <w:tblInd w:w="100" w:type="dxa"/>
                <w:tblLayout w:type="fixed"/>
                <w:tblCellMar>
                  <w:left w:w="108" w:type="dxa"/>
                  <w:right w:w="108" w:type="dxa"/>
                </w:tblCellMar>
              </w:tblPrEx>
              <w:trPr>
                <w:jc w:val="left"/>
              </w:trPr>
              <w:tc>
                <w:tcPr>
                  <w:tcW w:w="5120" w:type="dxa"/>
                  <w:tcMar>
                    <w:left w:w="0" w:type="dxa"/>
                    <w:bottom w:w="0" w:type="dxa"/>
                  </w:tcMar>
                </w:tcPr>
                <w:p>
                  <w:pPr>
                    <w:pStyle w:val="skn-slo3ullinth-last-child1Paragraph"/>
                    <w:numPr>
                      <w:ilvl w:val="0"/>
                      <w:numId w:val="12"/>
                    </w:numPr>
                    <w:tabs>
                      <w:tab w:val="left" w:pos="400"/>
                    </w:tabs>
                    <w:spacing w:after="0" w:line="280" w:lineRule="atLeast"/>
                    <w:ind w:left="400" w:right="0" w:hanging="400"/>
                    <w:rPr>
                      <w:rStyle w:val="skn-slo3sectionexpr-secparlrColmnparagraphnth-last-child1singlecolumn"/>
                      <w:rFonts w:ascii="Open Sans" w:eastAsia="Open Sans" w:hAnsi="Open Sans" w:cs="Open Sans"/>
                      <w:color w:val="050505"/>
                      <w:sz w:val="20"/>
                      <w:szCs w:val="20"/>
                      <w:bdr w:val="none" w:sz="0" w:space="0" w:color="auto"/>
                      <w:vertAlign w:val="baseline"/>
                    </w:rPr>
                  </w:pPr>
                  <w:r>
                    <w:rPr>
                      <w:rStyle w:val="skn-slo3sectionexpr-secparlrColmnparagraphnth-last-child1singlecolumn"/>
                      <w:rFonts w:ascii="Open Sans" w:eastAsia="Open Sans" w:hAnsi="Open Sans" w:cs="Open Sans"/>
                      <w:color w:val="050505"/>
                      <w:sz w:val="20"/>
                      <w:szCs w:val="20"/>
                      <w:bdr w:val="none" w:sz="0" w:space="0" w:color="auto"/>
                      <w:vertAlign w:val="baseline"/>
                    </w:rPr>
                    <w:t>Updated accounting systems with accurate transaction details and ensured proper documentation filing.</w:t>
                  </w:r>
                </w:p>
              </w:tc>
              <w:tc>
                <w:tcPr>
                  <w:tcW w:w="600" w:type="dxa"/>
                  <w:tcMar>
                    <w:bottom w:w="0" w:type="dxa"/>
                  </w:tcMar>
                </w:tcPr>
                <w:p/>
              </w:tc>
              <w:tc>
                <w:tcPr>
                  <w:tcW w:w="5120" w:type="dxa"/>
                  <w:tcMar>
                    <w:bottom w:w="0" w:type="dxa"/>
                  </w:tcMar>
                </w:tcPr>
                <w:p/>
              </w:tc>
            </w:tr>
          </w:tbl>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Education</w:t>
      </w: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3360" behindDoc="0" locked="0" layoutInCell="1" allowOverlap="1">
                  <wp:simplePos x="0" y="0"/>
                  <wp:positionH relativeFrom="column">
                    <wp:posOffset>-50800</wp:posOffset>
                  </wp:positionH>
                  <wp:positionV relativeFrom="paragraph">
                    <wp:posOffset>-25400</wp:posOffset>
                  </wp:positionV>
                  <wp:extent cx="89410" cy="190998"/>
                  <wp:wrapNone/>
                  <wp:docPr id="10001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3" name=""/>
                          <pic:cNvPicPr>
                            <a:picLocks noChangeAspect="0"/>
                          </pic:cNvPicPr>
                        </pic:nvPicPr>
                        <pic:blipFill>
                          <a:blip xmlns:r="http://schemas.openxmlformats.org/officeDocument/2006/relationships" r:embed="rId6"/>
                          <a:stretch>
                            <a:fillRect/>
                          </a:stretch>
                        </pic:blipFill>
                        <pic:spPr>
                          <a:xfrm>
                            <a:off x="0" y="0"/>
                            <a:ext cx="89410" cy="190998"/>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10th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Delhi Public School</w:t>
                  </w:r>
                  <w:r>
                    <w:rPr>
                      <w:rStyle w:val="skn-slo3txt-bold"/>
                      <w:rFonts w:ascii="Open Sans" w:eastAsia="Open Sans" w:hAnsi="Open Sans" w:cs="Open Sans"/>
                      <w:b/>
                      <w:bCs/>
                      <w:color w:val="E18926"/>
                      <w:sz w:val="20"/>
                      <w:szCs w:val="20"/>
                    </w:rPr>
                    <w:t xml:space="preserve">, </w:t>
                  </w:r>
                  <w:r>
                    <w:rPr>
                      <w:rStyle w:val="skn-slo3txt-capsCharacter"/>
                      <w:rFonts w:ascii="Open Sans" w:eastAsia="Open Sans" w:hAnsi="Open Sans" w:cs="Open Sans"/>
                      <w:caps/>
                      <w:color w:val="050505"/>
                      <w:sz w:val="20"/>
                      <w:szCs w:val="20"/>
                    </w:rPr>
                    <w:t>Delhi</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2010</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90"/>
        <w:gridCol w:w="1093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90" w:type="dxa"/>
            <w:tcBorders>
              <w:left w:val="single" w:sz="8" w:space="0" w:color="C0C0C0"/>
            </w:tcBorders>
            <w:noWrap w:val="0"/>
            <w:tcMar>
              <w:top w:w="0" w:type="dxa"/>
              <w:left w:w="0" w:type="dxa"/>
              <w:bottom w:w="40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timeline-svg"/>
                <w:rFonts w:ascii="Open Sans" w:eastAsia="Open Sans" w:hAnsi="Open Sans" w:cs="Open Sans"/>
                <w:color w:val="050505"/>
                <w:sz w:val="20"/>
                <w:szCs w:val="20"/>
                <w:bdr w:val="none" w:sz="0" w:space="0" w:color="auto"/>
                <w:vertAlign w:val="baseline"/>
              </w:rPr>
            </w:pPr>
            <w:r>
              <w:rPr>
                <w:rStyle w:val="skn-slo3sectionedu-secparlrColmntimeline-svg"/>
                <w:rFonts w:ascii="Open Sans" w:eastAsia="Open Sans" w:hAnsi="Open Sans" w:cs="Open Sans"/>
                <w:color w:val="050505"/>
                <w:sz w:val="20"/>
                <w:szCs w:val="20"/>
                <w:bdr w:val="none" w:sz="0" w:space="0" w:color="auto"/>
                <w:vertAlign w:val="baseline"/>
              </w:rPr>
              <w:drawing>
                <wp:anchor simplePos="0" relativeHeight="251664384" behindDoc="0" locked="0" layoutInCell="1" allowOverlap="1">
                  <wp:simplePos x="0" y="0"/>
                  <wp:positionH relativeFrom="column">
                    <wp:posOffset>-50800</wp:posOffset>
                  </wp:positionH>
                  <wp:positionV relativeFrom="paragraph">
                    <wp:posOffset>25400</wp:posOffset>
                  </wp:positionV>
                  <wp:extent cx="89410" cy="127540"/>
                  <wp:wrapNone/>
                  <wp:docPr id="10001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5"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30" w:type="dxa"/>
            <w:noWrap w:val="0"/>
            <w:tcMar>
              <w:top w:w="0" w:type="dxa"/>
              <w:left w:w="0" w:type="dxa"/>
              <w:bottom w:w="40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12th Standard</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Delhi Public School</w:t>
                  </w:r>
                  <w:r>
                    <w:rPr>
                      <w:rStyle w:val="skn-slo3txt-bold"/>
                      <w:rFonts w:ascii="Open Sans" w:eastAsia="Open Sans" w:hAnsi="Open Sans" w:cs="Open Sans"/>
                      <w:b/>
                      <w:bCs/>
                      <w:color w:val="E18926"/>
                      <w:sz w:val="20"/>
                      <w:szCs w:val="20"/>
                    </w:rPr>
                    <w:t xml:space="preserve">, </w:t>
                  </w:r>
                  <w:r>
                    <w:rPr>
                      <w:rStyle w:val="skn-slo3txt-capsCharacter"/>
                      <w:rFonts w:ascii="Open Sans" w:eastAsia="Open Sans" w:hAnsi="Open Sans" w:cs="Open Sans"/>
                      <w:caps/>
                      <w:color w:val="050505"/>
                      <w:sz w:val="20"/>
                      <w:szCs w:val="20"/>
                    </w:rPr>
                    <w:t>Delhi</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March 2012</w:t>
                  </w:r>
                </w:p>
              </w:tc>
            </w:tr>
          </w:tbl>
          <w:p>
            <w:pPr>
              <w:rPr>
                <w:rStyle w:val="skn-slo3sectionedu-secparlrColmnsinglecolumn"/>
                <w:rFonts w:ascii="Open Sans" w:eastAsia="Open Sans" w:hAnsi="Open Sans" w:cs="Open Sans"/>
                <w:color w:val="050505"/>
                <w:sz w:val="20"/>
                <w:szCs w:val="20"/>
                <w:bdr w:val="none" w:sz="0" w:space="0" w:color="auto"/>
                <w:vertAlign w:val="baseline"/>
              </w:rPr>
            </w:pPr>
          </w:p>
        </w:tc>
      </w:tr>
    </w:tbl>
    <w:p>
      <w:pPr>
        <w:rPr>
          <w:vanish/>
        </w:rPr>
      </w:pPr>
    </w:p>
    <w:tbl>
      <w:tblPr>
        <w:tblStyle w:val="skn-slo3sectionedu-secparlrColmn"/>
        <w:tblW w:w="0" w:type="auto"/>
        <w:tblCellSpacing w:w="0" w:type="dxa"/>
        <w:tblInd w:w="100" w:type="dxa"/>
        <w:tblLayout w:type="fixed"/>
        <w:tblCellMar>
          <w:top w:w="0" w:type="dxa"/>
          <w:left w:w="0" w:type="dxa"/>
          <w:bottom w:w="0" w:type="dxa"/>
          <w:right w:w="0" w:type="dxa"/>
        </w:tblCellMar>
        <w:tblLook w:val="05E0"/>
      </w:tblPr>
      <w:tblGrid>
        <w:gridCol w:w="280"/>
        <w:gridCol w:w="10940"/>
      </w:tblGrid>
      <w:tr>
        <w:tblPrEx>
          <w:tblW w:w="0" w:type="auto"/>
          <w:tblCellSpacing w:w="0" w:type="dxa"/>
          <w:tblInd w:w="100" w:type="dxa"/>
          <w:tblLayout w:type="fixed"/>
          <w:tblCellMar>
            <w:top w:w="0" w:type="dxa"/>
            <w:left w:w="0" w:type="dxa"/>
            <w:bottom w:w="0" w:type="dxa"/>
            <w:right w:w="0" w:type="dxa"/>
          </w:tblCellMar>
          <w:tblLook w:val="05E0"/>
        </w:tblPrEx>
        <w:trPr>
          <w:tblCellSpacing w:w="0" w:type="dxa"/>
        </w:trPr>
        <w:tc>
          <w:tcPr>
            <w:tcW w:w="280" w:type="dxa"/>
            <w:noWrap w:val="0"/>
            <w:tcMar>
              <w:top w:w="0" w:type="dxa"/>
              <w:left w:w="0" w:type="dxa"/>
              <w:bottom w:w="0" w:type="dxa"/>
              <w:right w:w="0" w:type="dxa"/>
            </w:tcMar>
            <w:vAlign w:val="top"/>
            <w:hideMark/>
          </w:tcPr>
          <w:p>
            <w:pPr>
              <w:pBdr>
                <w:top w:val="none" w:sz="0" w:space="0" w:color="auto"/>
                <w:left w:val="none" w:sz="0" w:space="0" w:color="auto"/>
                <w:bottom w:val="none" w:sz="0" w:space="0" w:color="auto"/>
                <w:right w:val="none" w:sz="0" w:space="0" w:color="auto"/>
              </w:pBdr>
              <w:spacing w:line="280" w:lineRule="atLeast"/>
              <w:ind w:left="100" w:right="0"/>
              <w:textAlignment w:val="auto"/>
              <w:rPr>
                <w:rStyle w:val="skn-slo3sectionedu-secparlrColmnparagraphnth-last-child1timeline-svg"/>
                <w:rFonts w:ascii="Open Sans" w:eastAsia="Open Sans" w:hAnsi="Open Sans" w:cs="Open Sans"/>
                <w:color w:val="050505"/>
                <w:sz w:val="20"/>
                <w:szCs w:val="20"/>
                <w:bdr w:val="none" w:sz="0" w:space="0" w:color="auto"/>
                <w:vertAlign w:val="baseline"/>
              </w:rPr>
            </w:pPr>
            <w:r>
              <w:rPr>
                <w:rStyle w:val="skn-slo3sectionedu-secparlrColmnparagraphnth-last-child1timeline-svg"/>
                <w:rFonts w:ascii="Open Sans" w:eastAsia="Open Sans" w:hAnsi="Open Sans" w:cs="Open Sans"/>
                <w:color w:val="050505"/>
                <w:sz w:val="20"/>
                <w:szCs w:val="20"/>
                <w:bdr w:val="none" w:sz="0" w:space="0" w:color="auto"/>
                <w:vertAlign w:val="baseline"/>
              </w:rPr>
              <w:drawing>
                <wp:anchor simplePos="0" relativeHeight="251665408" behindDoc="0" locked="0" layoutInCell="1" allowOverlap="1">
                  <wp:simplePos x="0" y="0"/>
                  <wp:positionH relativeFrom="column">
                    <wp:posOffset>-50800</wp:posOffset>
                  </wp:positionH>
                  <wp:positionV relativeFrom="paragraph">
                    <wp:posOffset>25400</wp:posOffset>
                  </wp:positionV>
                  <wp:extent cx="89410" cy="127540"/>
                  <wp:wrapNone/>
                  <wp:docPr id="10001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17" name=""/>
                          <pic:cNvPicPr>
                            <a:picLocks noChangeAspect="0"/>
                          </pic:cNvPicPr>
                        </pic:nvPicPr>
                        <pic:blipFill>
                          <a:blip xmlns:r="http://schemas.openxmlformats.org/officeDocument/2006/relationships" r:embed="rId7"/>
                          <a:stretch>
                            <a:fillRect/>
                          </a:stretch>
                        </pic:blipFill>
                        <pic:spPr>
                          <a:xfrm>
                            <a:off x="0" y="0"/>
                            <a:ext cx="89410" cy="127540"/>
                          </a:xfrm>
                          <a:prstGeom prst="rect">
                            <a:avLst/>
                          </a:prstGeom>
                        </pic:spPr>
                      </pic:pic>
                    </a:graphicData>
                  </a:graphic>
                </wp:anchor>
              </w:drawing>
            </w:r>
          </w:p>
        </w:tc>
        <w:tc>
          <w:tcPr>
            <w:tcW w:w="10940" w:type="dxa"/>
            <w:noWrap w:val="0"/>
            <w:tcMar>
              <w:top w:w="0" w:type="dxa"/>
              <w:left w:w="0" w:type="dxa"/>
              <w:bottom w:w="0" w:type="dxa"/>
              <w:right w:w="0" w:type="dxa"/>
            </w:tcMar>
            <w:vAlign w:val="top"/>
            <w:hideMark/>
          </w:tcPr>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8840"/>
              <w:gridCol w:w="100"/>
              <w:gridCol w:w="200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884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aps/>
                      <w:color w:val="050505"/>
                      <w:sz w:val="20"/>
                      <w:szCs w:val="20"/>
                    </w:rPr>
                    <w:t>Bachelor of Commerce</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in</w:t>
                  </w:r>
                  <w:r>
                    <w:rPr>
                      <w:rStyle w:val="skn-slo3edu-seccmn-title"/>
                      <w:rFonts w:ascii="Open Sans" w:eastAsia="Open Sans" w:hAnsi="Open Sans" w:cs="Open Sans"/>
                      <w:b/>
                      <w:bCs/>
                      <w:caps/>
                      <w:color w:val="050505"/>
                      <w:sz w:val="20"/>
                      <w:szCs w:val="20"/>
                    </w:rPr>
                    <w:t xml:space="preserve"> </w:t>
                  </w:r>
                  <w:r>
                    <w:rPr>
                      <w:rStyle w:val="span"/>
                      <w:rFonts w:ascii="Open Sans" w:eastAsia="Open Sans" w:hAnsi="Open Sans" w:cs="Open Sans"/>
                      <w:b/>
                      <w:bCs/>
                      <w:caps/>
                      <w:color w:val="050505"/>
                      <w:sz w:val="20"/>
                      <w:szCs w:val="20"/>
                    </w:rPr>
                    <w:t>Accounting and Finance</w:t>
                  </w:r>
                  <w:r>
                    <w:rPr>
                      <w:rStyle w:val="skn-slo3edu-seccmn-title"/>
                      <w:rFonts w:ascii="Open Sans" w:eastAsia="Open Sans" w:hAnsi="Open Sans" w:cs="Open Sans"/>
                      <w:b/>
                      <w:bCs/>
                      <w:cap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200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p>
              </w:tc>
            </w:tr>
          </w:tbl>
          <w:p>
            <w:pPr>
              <w:rPr>
                <w:vanish/>
              </w:rPr>
            </w:pPr>
          </w:p>
          <w:tbl>
            <w:tblPr>
              <w:tblStyle w:val="skn-slo3edu-secparagraphsinglecolumnedu-headerfield-group"/>
              <w:tblCellSpacing w:w="0" w:type="dxa"/>
              <w:tblInd w:w="0" w:type="dxa"/>
              <w:tblLayout w:type="fixed"/>
              <w:tblCellMar>
                <w:top w:w="0" w:type="dxa"/>
                <w:left w:w="0" w:type="dxa"/>
                <w:bottom w:w="0" w:type="dxa"/>
                <w:right w:w="0" w:type="dxa"/>
              </w:tblCellMar>
              <w:tblLook w:val="05E0"/>
            </w:tblPr>
            <w:tblGrid>
              <w:gridCol w:w="6400"/>
              <w:gridCol w:w="100"/>
              <w:gridCol w:w="444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6400" w:type="dxa"/>
                  <w:tcMar>
                    <w:top w:w="0" w:type="dxa"/>
                    <w:left w:w="0" w:type="dxa"/>
                    <w:bottom w:w="0" w:type="dxa"/>
                    <w:right w:w="0" w:type="dxa"/>
                  </w:tcMar>
                  <w:vAlign w:val="bottom"/>
                  <w:hideMark/>
                </w:tcPr>
                <w:p>
                  <w:pPr>
                    <w:pStyle w:val="skn-slo3disp-block"/>
                    <w:spacing w:before="0" w:after="0" w:line="280" w:lineRule="atLeast"/>
                    <w:ind w:left="100" w:right="0"/>
                    <w:rPr>
                      <w:rStyle w:val="skn-slo3edu-secparagraphsinglecolumnedu-headerfield-groupfield-group-leftCell"/>
                      <w:rFonts w:ascii="Open Sans" w:eastAsia="Open Sans" w:hAnsi="Open Sans" w:cs="Open Sans"/>
                      <w:color w:val="050505"/>
                      <w:sz w:val="20"/>
                      <w:szCs w:val="20"/>
                      <w:bdr w:val="none" w:sz="0" w:space="0" w:color="auto"/>
                      <w:vertAlign w:val="baseline"/>
                    </w:rPr>
                  </w:pPr>
                  <w:r>
                    <w:rPr>
                      <w:rStyle w:val="skn-slo3color-support"/>
                      <w:rFonts w:ascii="Open Sans" w:eastAsia="Open Sans" w:hAnsi="Open Sans" w:cs="Open Sans"/>
                      <w:sz w:val="20"/>
                      <w:szCs w:val="20"/>
                    </w:rPr>
                    <w:t>University of Delhi</w:t>
                  </w:r>
                  <w:r>
                    <w:rPr>
                      <w:rStyle w:val="skn-slo3tbl-leftinner"/>
                      <w:rFonts w:ascii="Open Sans" w:eastAsia="Open Sans" w:hAnsi="Open Sans" w:cs="Open Sans"/>
                      <w:color w:val="050505"/>
                      <w:sz w:val="20"/>
                      <w:szCs w:val="20"/>
                    </w:rPr>
                    <w:t xml:space="preserve"> </w:t>
                  </w:r>
                </w:p>
              </w:tc>
              <w:tc>
                <w:tcPr>
                  <w:tcW w:w="100" w:type="dxa"/>
                  <w:tcMar>
                    <w:top w:w="0" w:type="dxa"/>
                    <w:left w:w="0" w:type="dxa"/>
                    <w:bottom w:w="0" w:type="dxa"/>
                    <w:right w:w="0" w:type="dxa"/>
                  </w:tcMar>
                  <w:vAlign w:val="bottom"/>
                  <w:hideMark/>
                </w:tcPr>
                <w:p>
                  <w:pPr>
                    <w:pStyle w:val="skn-slo3edu-secparagraphsinglecolumnedu-headerfield-grouppaddingcellParagraph"/>
                    <w:spacing w:line="280" w:lineRule="atLeast"/>
                    <w:ind w:left="100" w:right="0"/>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kn-slo3edu-secparagraphsinglecolumnedu-headerfield-grouppaddingcell"/>
                      <w:rFonts w:ascii="Open Sans" w:eastAsia="Open Sans" w:hAnsi="Open Sans" w:cs="Open Sans"/>
                      <w:color w:val="050505"/>
                      <w:sz w:val="20"/>
                      <w:szCs w:val="20"/>
                      <w:bdr w:val="none" w:sz="0" w:space="0" w:color="auto"/>
                      <w:vertAlign w:val="baseline"/>
                    </w:rPr>
                    <w:t> </w:t>
                  </w:r>
                </w:p>
              </w:tc>
              <w:tc>
                <w:tcPr>
                  <w:tcW w:w="4440" w:type="dxa"/>
                  <w:tcMar>
                    <w:top w:w="0" w:type="dxa"/>
                    <w:left w:w="0" w:type="dxa"/>
                    <w:bottom w:w="0" w:type="dxa"/>
                    <w:right w:w="0" w:type="dxa"/>
                  </w:tcMar>
                  <w:vAlign w:val="top"/>
                  <w:hideMark/>
                </w:tcPr>
                <w:p>
                  <w:pPr>
                    <w:pStyle w:val="skn-slo3edu-secparagraphsinglecolumnedu-headerfield-grouppaddingcellParagraph"/>
                    <w:spacing w:line="280" w:lineRule="atLeast"/>
                    <w:ind w:left="100" w:right="0"/>
                    <w:jc w:val="right"/>
                    <w:rPr>
                      <w:rStyle w:val="skn-slo3edu-secparagraphsinglecolumnedu-headerfield-grouppaddingcell"/>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i/>
                      <w:iCs/>
                      <w:color w:val="050505"/>
                      <w:sz w:val="20"/>
                      <w:szCs w:val="20"/>
                    </w:rPr>
                    <w:t>April 2015</w:t>
                  </w:r>
                </w:p>
              </w:tc>
            </w:tr>
          </w:tbl>
          <w:p>
            <w:pPr>
              <w:rPr>
                <w:rStyle w:val="skn-slo3sectionedu-secparlrColmnparagraphnth-last-child1singlecolumn"/>
                <w:rFonts w:ascii="Open Sans" w:eastAsia="Open Sans" w:hAnsi="Open Sans" w:cs="Open Sans"/>
                <w:color w:val="050505"/>
                <w:sz w:val="20"/>
                <w:szCs w:val="20"/>
                <w:bdr w:val="none" w:sz="0" w:space="0" w:color="auto"/>
                <w:vertAlign w:val="baseline"/>
              </w:rPr>
            </w:pP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Certifications</w:t>
      </w:r>
    </w:p>
    <w:tbl>
      <w:tblPr>
        <w:tblW w:w="10860" w:type="dxa"/>
        <w:jc w:val="left"/>
        <w:tblInd w:w="460" w:type="dxa"/>
        <w:tblCellMar>
          <w:left w:w="108" w:type="dxa"/>
          <w:right w:w="108" w:type="dxa"/>
        </w:tblCellMar>
      </w:tblPr>
      <w:tblGrid>
        <w:gridCol w:w="5040"/>
        <w:gridCol w:w="781"/>
        <w:gridCol w:w="5040"/>
      </w:tblGrid>
      <w:tr>
        <w:tblPrEx>
          <w:tblW w:w="10860" w:type="dxa"/>
          <w:jc w:val="left"/>
          <w:tblInd w:w="460" w:type="dxa"/>
          <w:tblCellMar>
            <w:left w:w="108" w:type="dxa"/>
            <w:right w:w="108" w:type="dxa"/>
          </w:tblCellMar>
        </w:tblPrEx>
        <w:trPr>
          <w:jc w:val="left"/>
        </w:trPr>
        <w:tc>
          <w:tcPr>
            <w:tcW w:w="5130" w:type="dxa"/>
            <w:tcMar>
              <w:left w:w="0" w:type="dxa"/>
            </w:tcMar>
          </w:tcPr>
          <w:p>
            <w:pPr>
              <w:pStyle w:val="p"/>
              <w:numPr>
                <w:ilvl w:val="0"/>
                <w:numId w:val="13"/>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Advanced Excel for Financial Reporting</w:t>
            </w:r>
          </w:p>
        </w:tc>
        <w:tc>
          <w:tcPr>
            <w:tcW w:w="600" w:type="dxa"/>
            <w:tcMar>
              <w:bottom w:w="100" w:type="dxa"/>
            </w:tcMar>
          </w:tcPr>
          <w:p/>
        </w:tc>
        <w:tc>
          <w:tcPr>
            <w:tcW w:w="5130" w:type="dxa"/>
            <w:tcMar>
              <w:left w:w="0" w:type="dxa"/>
            </w:tcMar>
          </w:tcPr>
          <w:p>
            <w:pPr>
              <w:pStyle w:val="p"/>
              <w:numPr>
                <w:ilvl w:val="0"/>
                <w:numId w:val="14"/>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Tally ERP with GST Certification</w:t>
            </w:r>
          </w:p>
        </w:tc>
      </w:tr>
      <w:tr>
        <w:tblPrEx>
          <w:tblW w:w="10860" w:type="dxa"/>
          <w:jc w:val="left"/>
          <w:tblInd w:w="460" w:type="dxa"/>
          <w:tblCellMar>
            <w:left w:w="108" w:type="dxa"/>
            <w:right w:w="108" w:type="dxa"/>
          </w:tblCellMar>
        </w:tblPrEx>
        <w:trPr>
          <w:jc w:val="left"/>
        </w:trPr>
        <w:tc>
          <w:tcPr>
            <w:tcW w:w="5130" w:type="dxa"/>
            <w:tcMar>
              <w:left w:w="0" w:type="dxa"/>
              <w:bottom w:w="0" w:type="dxa"/>
            </w:tcMar>
          </w:tcPr>
          <w:p>
            <w:pPr>
              <w:pStyle w:val="p"/>
              <w:numPr>
                <w:ilvl w:val="0"/>
                <w:numId w:val="15"/>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NISM Series V-A: Mutual Fund Distributors Certification</w:t>
            </w:r>
          </w:p>
        </w:tc>
        <w:tc>
          <w:tcPr>
            <w:tcW w:w="600" w:type="dxa"/>
            <w:tcMar>
              <w:bottom w:w="0" w:type="dxa"/>
            </w:tcMar>
          </w:tcPr>
          <w:p/>
        </w:tc>
        <w:tc>
          <w:tcPr>
            <w:tcW w:w="5130" w:type="dxa"/>
            <w:tcMar>
              <w:left w:w="0" w:type="dxa"/>
              <w:bottom w:w="0" w:type="dxa"/>
            </w:tcMar>
          </w:tcPr>
          <w:p>
            <w:pPr>
              <w:pStyle w:val="p"/>
              <w:numPr>
                <w:ilvl w:val="0"/>
                <w:numId w:val="16"/>
              </w:numPr>
              <w:pBdr>
                <w:top w:val="none" w:sz="0" w:space="0" w:color="auto"/>
                <w:left w:val="none" w:sz="0" w:space="18" w:color="auto"/>
                <w:bottom w:val="none" w:sz="0" w:space="0" w:color="auto"/>
                <w:right w:val="none" w:sz="0" w:space="0" w:color="auto"/>
              </w:pBdr>
              <w:tabs>
                <w:tab w:val="left" w:pos="300"/>
              </w:tabs>
              <w:spacing w:before="0" w:after="0" w:line="300" w:lineRule="atLeast"/>
              <w:ind w:left="300" w:right="0" w:hanging="30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NISM Series VIII: Equity Derivatives Certification</w:t>
            </w:r>
          </w:p>
        </w:tc>
      </w:tr>
    </w:tbl>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Projects</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NAV Automation Support project at Nova Fund Services to improve accuracy and reduce manual calculation efforts. Reconciliation Process Standardization project at Crestview Investment Solutions to reduce reporting discrepancies.</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Industry</w:t>
      </w:r>
    </w:p>
    <w:p>
      <w:pPr>
        <w:pStyle w:val="skn-slo3singlecolumn"/>
        <w:pBdr>
          <w:top w:val="none" w:sz="0" w:space="0" w:color="auto"/>
          <w:left w:val="none" w:sz="0" w:space="0" w:color="auto"/>
          <w:bottom w:val="none" w:sz="0" w:space="0" w:color="auto"/>
          <w:right w:val="none" w:sz="0" w:space="0" w:color="auto"/>
        </w:pBdr>
        <w:spacing w:before="0" w:after="0" w:line="280" w:lineRule="atLeast"/>
        <w:ind w:left="0" w:right="0"/>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Investment Management and Fund Administration</w:t>
      </w:r>
    </w:p>
    <w:p>
      <w:pPr>
        <w:pStyle w:val="skn-slo3section-title"/>
        <w:pBdr>
          <w:top w:val="none" w:sz="0" w:space="0" w:color="auto"/>
          <w:left w:val="none" w:sz="0" w:space="0" w:color="auto"/>
          <w:bottom w:val="none" w:sz="0" w:space="0" w:color="auto"/>
          <w:right w:val="none" w:sz="0" w:space="0" w:color="auto"/>
        </w:pBdr>
        <w:spacing w:before="400" w:after="200"/>
        <w:ind w:left="0" w:right="0"/>
        <w:rPr>
          <w:rFonts w:ascii="Open Sans" w:eastAsia="Open Sans" w:hAnsi="Open Sans" w:cs="Open Sans"/>
          <w:b/>
          <w:bCs/>
          <w:caps/>
          <w:color w:val="E18926"/>
          <w:bdr w:val="none" w:sz="0" w:space="0" w:color="auto"/>
          <w:vertAlign w:val="baseline"/>
        </w:rPr>
      </w:pPr>
      <w:r>
        <w:rPr>
          <w:rFonts w:ascii="Open Sans" w:eastAsia="Open Sans" w:hAnsi="Open Sans" w:cs="Open Sans"/>
          <w:b/>
          <w:bCs/>
          <w:caps/>
          <w:bdr w:val="none" w:sz="0" w:space="0" w:color="auto"/>
          <w:vertAlign w:val="baseline"/>
        </w:rPr>
        <w:t>Accomplishments</w:t>
      </w:r>
    </w:p>
    <w:p>
      <w:pPr>
        <w:pStyle w:val="skn-slo3ulliParagraph"/>
        <w:numPr>
          <w:ilvl w:val="0"/>
          <w:numId w:val="17"/>
        </w:numPr>
        <w:pBdr>
          <w:top w:val="none" w:sz="0" w:space="0" w:color="auto"/>
          <w:left w:val="none" w:sz="0" w:space="0" w:color="auto"/>
          <w:bottom w:val="none" w:sz="0" w:space="0" w:color="auto"/>
          <w:right w:val="none" w:sz="0" w:space="0" w:color="auto"/>
        </w:pBdr>
        <w:spacing w:before="0"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Appreciated at Nova Fund Services for consistently delivering accurate NAVs without errors across multiple schemes.</w:t>
      </w:r>
    </w:p>
    <w:p>
      <w:pPr>
        <w:pStyle w:val="skn-slo3ulliParagraph"/>
        <w:numPr>
          <w:ilvl w:val="0"/>
          <w:numId w:val="17"/>
        </w:numPr>
        <w:spacing w:after="10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Recognized at Crestview Investment Solutions for supporting smooth audit completion with timely documentation.</w:t>
      </w:r>
    </w:p>
    <w:p>
      <w:pPr>
        <w:pStyle w:val="skn-slo3ullinth-last-child1Paragraph"/>
        <w:numPr>
          <w:ilvl w:val="0"/>
          <w:numId w:val="17"/>
        </w:numPr>
        <w:spacing w:after="0" w:line="280" w:lineRule="atLeast"/>
        <w:ind w:left="400" w:right="0" w:hanging="232"/>
        <w:rPr>
          <w:rFonts w:ascii="Open Sans" w:eastAsia="Open Sans" w:hAnsi="Open Sans" w:cs="Open Sans"/>
          <w:color w:val="050505"/>
          <w:sz w:val="20"/>
          <w:szCs w:val="20"/>
          <w:bdr w:val="none" w:sz="0" w:space="0" w:color="auto"/>
          <w:vertAlign w:val="baseline"/>
        </w:rPr>
      </w:pPr>
      <w:r>
        <w:rPr>
          <w:rFonts w:ascii="Open Sans" w:eastAsia="Open Sans" w:hAnsi="Open Sans" w:cs="Open Sans"/>
          <w:color w:val="050505"/>
          <w:sz w:val="20"/>
          <w:szCs w:val="20"/>
          <w:bdr w:val="none" w:sz="0" w:space="0" w:color="auto"/>
          <w:vertAlign w:val="baseline"/>
        </w:rPr>
        <w:t>Commended for improving reconciliation turnaround time at Nova Fund Services through process discipline.</w:t>
      </w:r>
    </w:p>
    <w:sectPr>
      <w:pgSz w:w="12240" w:h="15840"/>
      <w:pgMar w:top="460" w:right="460" w:bottom="460" w:left="460" w:header="720" w:footer="720"/>
      <w:cols w:space="720"/>
    </w:sectPr>
  </w:body>
</w:document>
</file>

<file path=word/fontTable.xml><?xml version="1.0" encoding="utf-8"?>
<w:fonts xmlns:r="http://schemas.openxmlformats.org/officeDocument/2006/relationships" xmlns:w="http://schemas.openxmlformats.org/wordprocessingml/2006/main">
  <w:font w:name="Open Sans">
    <w:charset w:val="00"/>
    <w:family w:val="auto"/>
    <w:pitch w:val="default"/>
    <w:sig w:usb0="00000000" w:usb1="00000000" w:usb2="00000000" w:usb3="00000000" w:csb0="00000001" w:csb1="00000000"/>
    <w:embedRegular r:id="rId1" w:fontKey="{FFDC8EDB-825D-47F8-B137-642C63427D5D}"/>
    <w:embedBold r:id="rId2" w:fontKey="{AAFF4BD6-2ABE-4015-A08E-8B1DAA640E6F}"/>
    <w:embedItalic r:id="rId3" w:fontKey="{3E8958C1-4372-4217-92E2-E6E8B08F0869}"/>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5">
    <w:nsid w:val="00000010"/>
    <w:multiLevelType w:val="hybridMultilevel"/>
    <w:tmpl w:val="00000010"/>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6">
    <w:nsid w:val="00000011"/>
    <w:multiLevelType w:val="hybridMultilevel"/>
    <w:tmpl w:val="00000011"/>
    <w:lvl w:ilvl="0">
      <w:start w:val="1"/>
      <w:numFmt w:val="bullet"/>
      <w:lvlText w:val=""/>
      <w:lvlJc w:val="left"/>
      <w:pPr>
        <w:ind w:left="720" w:hanging="360"/>
      </w:pPr>
      <w:rPr>
        <w:rFonts w:ascii="Wingdings" w:hAnsi="Wingdings"/>
        <w:color w:val="E18926"/>
        <w:position w:val="-2"/>
        <w:sz w:val="2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slo3pagesize">
    <w:name w:val="skn-slo3_pagesize"/>
    <w:basedOn w:val="Normal"/>
  </w:style>
  <w:style w:type="character" w:customStyle="1" w:styleId="skn-slo3top-sectionleft-box">
    <w:name w:val="skn-slo3_top-section_left-box"/>
    <w:basedOn w:val="DefaultParagraphFont"/>
  </w:style>
  <w:style w:type="character" w:customStyle="1" w:styleId="skn-slo3top-sectionright-box">
    <w:name w:val="skn-slo3_top-section_right-box"/>
    <w:basedOn w:val="DefaultParagraphFont"/>
  </w:style>
  <w:style w:type="paragraph" w:customStyle="1" w:styleId="skn-slo3firstsection">
    <w:name w:val="skn-slo3_firstsection"/>
    <w:basedOn w:val="Normal"/>
  </w:style>
  <w:style w:type="paragraph" w:customStyle="1" w:styleId="skn-slo3firstparagraph">
    <w:name w:val="skn-slo3_firstparagraph"/>
    <w:basedOn w:val="Normal"/>
  </w:style>
  <w:style w:type="paragraph" w:customStyle="1" w:styleId="skn-slo3txt-caps">
    <w:name w:val="skn-slo3_txt-caps"/>
    <w:basedOn w:val="Normal"/>
    <w:rPr>
      <w:caps/>
    </w:rPr>
  </w:style>
  <w:style w:type="character" w:customStyle="1" w:styleId="span">
    <w:name w:val="span"/>
    <w:basedOn w:val="DefaultParagraphFont"/>
    <w:rPr>
      <w:bdr w:val="none" w:sz="0" w:space="0" w:color="auto"/>
      <w:vertAlign w:val="baseline"/>
    </w:rPr>
  </w:style>
  <w:style w:type="character" w:customStyle="1" w:styleId="skn-slo3txt-capsCharacter">
    <w:name w:val="skn-slo3_txt-caps Character"/>
    <w:basedOn w:val="DefaultParagraphFont"/>
    <w:rPr>
      <w:caps/>
    </w:rPr>
  </w:style>
  <w:style w:type="paragraph" w:customStyle="1" w:styleId="skn-slo3cntc-sec">
    <w:name w:val="skn-slo3_cntc-sec"/>
    <w:basedOn w:val="Normal"/>
  </w:style>
  <w:style w:type="paragraph" w:customStyle="1" w:styleId="skn-slo3right-boxcntc-secparagraph">
    <w:name w:val="skn-slo3_right-box_cntc-sec_paragraph"/>
    <w:basedOn w:val="Normal"/>
    <w:pPr>
      <w:spacing w:line="400" w:lineRule="atLeast"/>
    </w:pPr>
  </w:style>
  <w:style w:type="paragraph" w:customStyle="1" w:styleId="skn-slo3address">
    <w:name w:val="skn-slo3_address"/>
    <w:basedOn w:val="Normal"/>
  </w:style>
  <w:style w:type="character" w:customStyle="1" w:styleId="skn-slo3ulli">
    <w:name w:val="skn-slo3_ul_li"/>
    <w:basedOn w:val="DefaultParagraphFont"/>
  </w:style>
  <w:style w:type="character" w:customStyle="1" w:styleId="spacebeforebulletcntc">
    <w:name w:val="spacebefore_bullet_cntc"/>
    <w:basedOn w:val="DefaultParagraphFont"/>
    <w:rPr>
      <w:rFonts w:ascii="Arial" w:eastAsia="Arial" w:hAnsi="Arial" w:cs="Arial"/>
      <w:sz w:val="20"/>
      <w:szCs w:val="20"/>
    </w:rPr>
  </w:style>
  <w:style w:type="character" w:customStyle="1" w:styleId="bluebullet">
    <w:name w:val="bluebullet"/>
    <w:basedOn w:val="DefaultParagraphFont"/>
    <w:rPr>
      <w:rFonts w:ascii="Arial" w:eastAsia="Arial" w:hAnsi="Arial" w:cs="Arial"/>
      <w:sz w:val="20"/>
      <w:szCs w:val="20"/>
    </w:rPr>
  </w:style>
  <w:style w:type="character" w:customStyle="1" w:styleId="skn-slo3spanempty">
    <w:name w:val="skn-slo3_span_empty"/>
    <w:basedOn w:val="DefaultParagraphFont"/>
    <w:rPr>
      <w:vanish/>
    </w:rPr>
  </w:style>
  <w:style w:type="character" w:customStyle="1" w:styleId="skn-slo3ullinth-last-child1">
    <w:name w:val="skn-slo3_ul_li_nth-last-child(1)"/>
    <w:basedOn w:val="DefaultParagraphFont"/>
  </w:style>
  <w:style w:type="character" w:customStyle="1" w:styleId="skn-slo3addressCharacter">
    <w:name w:val="skn-slo3_address Character"/>
    <w:basedOn w:val="DefaultParagraphFont"/>
  </w:style>
  <w:style w:type="table" w:customStyle="1" w:styleId="skn-slo3top-section">
    <w:name w:val="skn-slo3_top-section"/>
    <w:basedOn w:val="TableNormal"/>
    <w:tbl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slo3top-sectionparent-containersectionnth-child1">
    <w:name w:val="skn-slo3_top-section + parent-container_section_nth-child(1)"/>
    <w:basedOn w:val="Normal"/>
  </w:style>
  <w:style w:type="paragraph" w:customStyle="1" w:styleId="skn-slo3heading">
    <w:name w:val="skn-slo3_heading"/>
    <w:basedOn w:val="Normal"/>
    <w:rPr>
      <w:b/>
      <w:bCs/>
      <w:caps/>
    </w:rPr>
  </w:style>
  <w:style w:type="paragraph" w:customStyle="1" w:styleId="skn-slo3section-title">
    <w:name w:val="skn-slo3_section-title"/>
    <w:basedOn w:val="Normal"/>
    <w:pPr>
      <w:spacing w:line="340" w:lineRule="atLeast"/>
    </w:pPr>
    <w:rPr>
      <w:color w:val="E18926"/>
      <w:sz w:val="24"/>
      <w:szCs w:val="24"/>
    </w:rPr>
  </w:style>
  <w:style w:type="paragraph" w:customStyle="1" w:styleId="skn-slo3singlecolumn">
    <w:name w:val="skn-slo3_singlecolumn"/>
    <w:basedOn w:val="Normal"/>
  </w:style>
  <w:style w:type="paragraph" w:customStyle="1" w:styleId="skn-slo3cmn-sec">
    <w:name w:val="skn-slo3_cmn-sec"/>
    <w:basedOn w:val="Normal"/>
  </w:style>
  <w:style w:type="paragraph" w:customStyle="1" w:styleId="skn-slo3cmn-secheading">
    <w:name w:val="skn-slo3_cmn-sec_heading"/>
    <w:basedOn w:val="Normal"/>
  </w:style>
  <w:style w:type="paragraph" w:customStyle="1" w:styleId="skn-slo3cmn-secparagraph">
    <w:name w:val="skn-slo3_cmn-sec_paragraph"/>
    <w:basedOn w:val="Normal"/>
    <w:pPr>
      <w:pBdr>
        <w:left w:val="none" w:sz="0" w:space="18" w:color="auto"/>
      </w:pBdr>
      <w:spacing w:line="300" w:lineRule="atLeast"/>
    </w:pPr>
    <w:rPr>
      <w:sz w:val="20"/>
      <w:szCs w:val="20"/>
    </w:rPr>
  </w:style>
  <w:style w:type="paragraph" w:customStyle="1" w:styleId="skn-slo3ullinth-last-child1Paragraph">
    <w:name w:val="skn-slo3_ul_li_nth-last-child(1) Paragraph"/>
    <w:basedOn w:val="Normal"/>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character" w:customStyle="1" w:styleId="pCharacter">
    <w:name w:val="p Character"/>
    <w:basedOn w:val="DefaultParagraphFont"/>
    <w:rPr>
      <w:bdr w:val="none" w:sz="0" w:space="0" w:color="auto"/>
      <w:vertAlign w:val="baseline"/>
    </w:rPr>
  </w:style>
  <w:style w:type="paragraph" w:customStyle="1" w:styleId="skn-slo3cmn-secparagraphnth-last-child2">
    <w:name w:val="skn-slo3_cmn-sec_paragraph_nth-last-child(2)"/>
    <w:basedOn w:val="Normal"/>
  </w:style>
  <w:style w:type="paragraph" w:customStyle="1" w:styleId="skn-slo3cmn-secparagraphnth-last-child1">
    <w:name w:val="skn-slo3_cmn-sec_paragraph_nth-last-child(1)"/>
    <w:basedOn w:val="Normal"/>
  </w:style>
  <w:style w:type="paragraph" w:customStyle="1" w:styleId="skn-slo3section">
    <w:name w:val="skn-slo3_section"/>
    <w:basedOn w:val="Normal"/>
  </w:style>
  <w:style w:type="character" w:customStyle="1" w:styleId="skn-slo3sectionexpr-secparlrColmntimeline-svg">
    <w:name w:val="skn-slo3_section_expr-sec_parlrColmn_timeline-svg"/>
    <w:basedOn w:val="DefaultParagraphFont"/>
  </w:style>
  <w:style w:type="character" w:customStyle="1" w:styleId="skn-slo3sectionexpr-secparlrColmnsinglecolumn">
    <w:name w:val="skn-slo3_section_expr-sec_parlrColmn_singlecolumn"/>
    <w:basedOn w:val="DefaultParagraphFont"/>
  </w:style>
  <w:style w:type="paragraph" w:customStyle="1" w:styleId="skn-slo3disp-block">
    <w:name w:val="skn-slo3_disp-block"/>
    <w:basedOn w:val="Normal"/>
  </w:style>
  <w:style w:type="character" w:customStyle="1" w:styleId="spacebeforecomp">
    <w:name w:val="space_before_comp"/>
    <w:basedOn w:val="DefaultParagraphFont"/>
    <w:rPr>
      <w:rFonts w:ascii="Arial" w:eastAsia="Arial" w:hAnsi="Arial" w:cs="Arial"/>
      <w:sz w:val="20"/>
      <w:szCs w:val="20"/>
    </w:rPr>
  </w:style>
  <w:style w:type="character" w:customStyle="1" w:styleId="skn-slo3color-support">
    <w:name w:val="skn-slo3_color-support"/>
    <w:basedOn w:val="DefaultParagraphFont"/>
    <w:rPr>
      <w:color w:val="E18926"/>
    </w:rPr>
  </w:style>
  <w:style w:type="character" w:customStyle="1" w:styleId="skn-slo3sectionexpr-sectbl-uppertbl-leftinner">
    <w:name w:val="skn-slo3_section_expr-sec_tbl-upper_tbl-leftinner"/>
    <w:basedOn w:val="DefaultParagraphFont"/>
  </w:style>
  <w:style w:type="character" w:customStyle="1" w:styleId="singlecolumnspanpaddedlinenth-child1">
    <w:name w:val="singlecolumn_span_paddedline_nth-child(1)"/>
    <w:basedOn w:val="DefaultParagraphFont"/>
  </w:style>
  <w:style w:type="character" w:customStyle="1" w:styleId="skn-slo3sectionexpr-sectbl-upperpaddingcell">
    <w:name w:val="skn-slo3_section_expr-sec_tbl-upper_paddingcell"/>
    <w:basedOn w:val="DefaultParagraphFont"/>
  </w:style>
  <w:style w:type="character" w:customStyle="1" w:styleId="skn-slo3sectionexpr-sectbl-uppertbl-inner">
    <w:name w:val="skn-slo3_section_expr-sec_tbl-upper_tbl-inner"/>
    <w:basedOn w:val="DefaultParagraphFont"/>
  </w:style>
  <w:style w:type="character" w:customStyle="1" w:styleId="skn-slo3txt-itl">
    <w:name w:val="skn-slo3_txt-itl"/>
    <w:basedOn w:val="DefaultParagraphFont"/>
    <w:rPr>
      <w:i/>
      <w:iCs/>
    </w:rPr>
  </w:style>
  <w:style w:type="table" w:customStyle="1" w:styleId="skn-slo3sectionexpr-sectbl-upper">
    <w:name w:val="skn-slo3_section_expr-sec_tbl-upper"/>
    <w:basedOn w:val="TableNormal"/>
    <w:tblPr/>
  </w:style>
  <w:style w:type="character" w:customStyle="1" w:styleId="divCharacter">
    <w:name w:val="div Character"/>
    <w:basedOn w:val="DefaultParagraphFont"/>
    <w:rPr>
      <w:bdr w:val="none" w:sz="0" w:space="0" w:color="auto"/>
      <w:vertAlign w:val="baseline"/>
    </w:rPr>
  </w:style>
  <w:style w:type="paragraph" w:customStyle="1" w:styleId="skn-slo3ulliParagraph">
    <w:name w:val="skn-slo3_ul_li Paragraph"/>
    <w:basedOn w:val="Normal"/>
  </w:style>
  <w:style w:type="table" w:customStyle="1" w:styleId="skn-slo3sectionexpr-secparlrColmn">
    <w:name w:val="skn-slo3_section_expr-sec_parlrColmn"/>
    <w:basedOn w:val="TableNormal"/>
    <w:tblPr/>
  </w:style>
  <w:style w:type="character" w:customStyle="1" w:styleId="skn-slo3sectionexpr-secparlrColmnparagraphnth-last-child1timeline-svg">
    <w:name w:val="skn-slo3_section_expr-sec_parlrColmn_paragraph_nth-last-child(1)_timeline-svg"/>
    <w:basedOn w:val="DefaultParagraphFont"/>
    <w:rPr>
      <w:bdr w:val="none" w:sz="0" w:space="0" w:color="auto"/>
    </w:rPr>
  </w:style>
  <w:style w:type="character" w:customStyle="1" w:styleId="skn-slo3sectionexpr-secparlrColmnparagraphnth-last-child1singlecolumn">
    <w:name w:val="skn-slo3_section_expr-sec_parlrColmn_paragraph_nth-last-child(1)_singlecolumn"/>
    <w:basedOn w:val="DefaultParagraphFont"/>
  </w:style>
  <w:style w:type="character" w:customStyle="1" w:styleId="skn-slo3sectionedu-secparlrColmntimeline-svg">
    <w:name w:val="skn-slo3_section_edu-sec_parlrColmn_timeline-svg"/>
    <w:basedOn w:val="DefaultParagraphFont"/>
  </w:style>
  <w:style w:type="character" w:customStyle="1" w:styleId="skn-slo3sectionedu-secparlrColmnsinglecolumn">
    <w:name w:val="skn-slo3_section_edu-sec_parlrColmn_singlecolumn"/>
    <w:basedOn w:val="DefaultParagraphFont"/>
  </w:style>
  <w:style w:type="character" w:customStyle="1" w:styleId="skn-slo3edu-secparagraphsinglecolumnedu-headerfield-groupfield-group-leftCell">
    <w:name w:val="skn-slo3_edu-sec_paragraph_singlecolumn_edu-header_field-group_field-group-leftCell"/>
    <w:basedOn w:val="DefaultParagraphFont"/>
  </w:style>
  <w:style w:type="character" w:customStyle="1" w:styleId="skn-slo3edu-seccmn-title">
    <w:name w:val="skn-slo3_edu-sec_cmn-title"/>
    <w:basedOn w:val="DefaultParagraphFont"/>
  </w:style>
  <w:style w:type="character" w:customStyle="1" w:styleId="skn-slo3edu-secparagraphsinglecolumnedu-headerfield-grouppaddingcell">
    <w:name w:val="skn-slo3_edu-sec_paragraph_singlecolumn_edu-header_field-group_paddingcell"/>
    <w:basedOn w:val="DefaultParagraphFont"/>
  </w:style>
  <w:style w:type="paragraph" w:customStyle="1" w:styleId="skn-slo3edu-secparagraphsinglecolumnedu-headerfield-grouppaddingcellParagraph">
    <w:name w:val="skn-slo3_edu-sec_paragraph_singlecolumn_edu-header_field-group_paddingcell Paragraph"/>
    <w:basedOn w:val="Normal"/>
  </w:style>
  <w:style w:type="character" w:customStyle="1" w:styleId="skn-slo3edu-secparagraphsinglecolumnedu-headerfield-groupfield-group-rightCell">
    <w:name w:val="skn-slo3_edu-sec_paragraph_singlecolumn_edu-header_field-group_field-group-rightCell"/>
    <w:basedOn w:val="DefaultParagraphFont"/>
  </w:style>
  <w:style w:type="character" w:customStyle="1" w:styleId="skn-slo3spce-beforegpa">
    <w:name w:val="skn-slo3_spce-beforegpa"/>
    <w:basedOn w:val="DefaultParagraphFont"/>
    <w:rPr>
      <w:sz w:val="20"/>
      <w:szCs w:val="20"/>
    </w:rPr>
  </w:style>
  <w:style w:type="table" w:customStyle="1" w:styleId="skn-slo3edu-secparagraphsinglecolumnedu-headerfield-group">
    <w:name w:val="skn-slo3_edu-sec_paragraph_singlecolumn_edu-header_field-group"/>
    <w:basedOn w:val="TableNormal"/>
    <w:tblPr/>
  </w:style>
  <w:style w:type="character" w:customStyle="1" w:styleId="skn-slo3tbl-leftinner">
    <w:name w:val="skn-slo3_tbl-leftinner"/>
    <w:basedOn w:val="DefaultParagraphFont"/>
  </w:style>
  <w:style w:type="character" w:customStyle="1" w:styleId="skn-slo3txt-bold">
    <w:name w:val="skn-slo3_txt-bold"/>
    <w:basedOn w:val="DefaultParagraphFont"/>
    <w:rPr>
      <w:b/>
      <w:bCs/>
    </w:rPr>
  </w:style>
  <w:style w:type="character" w:customStyle="1" w:styleId="skn-slo3edu-secparagraphsinglecolumnedu-headerfield-groupfield-group-rightCellfield-group-rightCell-stillenrolled">
    <w:name w:val="skn-slo3_edu-sec_paragraph_singlecolumn_edu-header_field-group_field-group-rightCell_field-group-rightCell-stillenrolled"/>
    <w:basedOn w:val="DefaultParagraphFont"/>
  </w:style>
  <w:style w:type="table" w:customStyle="1" w:styleId="skn-slo3sectionedu-secparlrColmn">
    <w:name w:val="skn-slo3_section_edu-sec_parlrColmn"/>
    <w:basedOn w:val="TableNormal"/>
    <w:tblPr/>
  </w:style>
  <w:style w:type="character" w:customStyle="1" w:styleId="skn-slo3sectionedu-secparlrColmnparagraphnth-last-child1timeline-svg">
    <w:name w:val="skn-slo3_section_edu-sec_parlrColmn_paragraph_nth-last-child(1)_timeline-svg"/>
    <w:basedOn w:val="DefaultParagraphFont"/>
    <w:rPr>
      <w:bdr w:val="none" w:sz="0" w:space="0" w:color="auto"/>
    </w:rPr>
  </w:style>
  <w:style w:type="character" w:customStyle="1" w:styleId="skn-slo3sectionedu-secparlrColmnparagraphnth-last-child1singlecolumn">
    <w:name w:val="skn-slo3_section_edu-sec_parlrColmn_paragraph_nth-last-child(1)_singlecolumn"/>
    <w:basedOn w:val="DefaultParagraphFon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theme" Target="theme/theme1.xml" /><Relationship Id="rId9" Type="http://schemas.openxmlformats.org/officeDocument/2006/relationships/numbering" Target="numbering.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