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800"/>
        <w:gridCol w:w="95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80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400"/>
              <w:rPr>
                <w:rStyle w:val="skn-slo3top-sectionleft-box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pict>
                <v:roundrect id="_x0000_i1025" style="width:70pt;height:70pt" arcsize="10923f" stroked="f">
                  <v:imagedata r:id="rId4" o:title=""/>
                </v:roundrect>
              </w:pict>
            </w:r>
          </w:p>
        </w:tc>
        <w:tc>
          <w:tcPr>
            <w:tcW w:w="95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20" w:lineRule="atLeast"/>
              <w:ind w:left="0" w:right="0"/>
              <w:rPr>
                <w:rStyle w:val="skn-slo3top-sectionright-box"/>
                <w:rFonts w:ascii="Lora" w:eastAsia="Lora" w:hAnsi="Lora" w:cs="Lora"/>
                <w:b/>
                <w:bCs/>
                <w:caps/>
                <w:color w:val="050505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Lora" w:eastAsia="Lora" w:hAnsi="Lora" w:cs="Lora"/>
                <w:b/>
                <w:bCs/>
                <w:caps/>
                <w:color w:val="050505"/>
                <w:sz w:val="48"/>
                <w:szCs w:val="48"/>
              </w:rPr>
              <w:t>Siddarth</w:t>
            </w:r>
            <w:r>
              <w:rPr>
                <w:rStyle w:val="skn-slo3top-sectionright-box"/>
                <w:rFonts w:ascii="Lora" w:eastAsia="Lora" w:hAnsi="Lora" w:cs="Lora"/>
                <w:b/>
                <w:bCs/>
                <w:caps/>
                <w:color w:val="050505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Lora" w:eastAsia="Lora" w:hAnsi="Lora" w:cs="Lora"/>
                <w:b/>
                <w:bCs/>
                <w:caps/>
                <w:color w:val="050505"/>
                <w:sz w:val="48"/>
                <w:szCs w:val="48"/>
              </w:rPr>
              <w:t>Mehta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" w:lineRule="atLeast"/>
              <w:ind w:left="0" w:right="0"/>
              <w:rPr>
                <w:rStyle w:val="skn-slo3top-sectionright-box"/>
                <w:rFonts w:ascii="Lora" w:eastAsia="Lora" w:hAnsi="Lora" w:cs="Lora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Lora" w:eastAsia="Lora" w:hAnsi="Lora" w:cs="Lora"/>
                <w:b/>
                <w:bCs/>
                <w:caps/>
                <w:color w:val="050505"/>
                <w:sz w:val="28"/>
                <w:szCs w:val="28"/>
              </w:rPr>
              <w:t>Financial Risk Associate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</w:pP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80" w:lineRule="exact"/>
              <w:ind w:left="0" w:right="0"/>
              <w:textAlignment w:val="auto"/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</w:pP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Lora" w:eastAsia="Lora" w:hAnsi="Lora" w:cs="Lora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107989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siddharth.mehta@example.com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Lora" w:eastAsia="Lora" w:hAnsi="Lora" w:cs="Lora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107989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Maharashtra</w:t>
            </w:r>
            <w:r>
              <w:rPr>
                <w:rStyle w:val="skn-slo3ulli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400001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Lora" w:eastAsia="Lora" w:hAnsi="Lora" w:cs="Lora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107989</wp:posOffset>
                  </wp:positionV>
                  <wp:extent cx="64041" cy="10215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22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noBreakHyphen/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Mar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noBreakHyphen/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1991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Lora" w:eastAsia="Lora" w:hAnsi="Lora" w:cs="Lora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Lora" w:eastAsia="Lora" w:hAnsi="Lora" w:cs="Lora"/>
          <w:b/>
          <w:bCs/>
          <w:caps/>
          <w:color w:val="050505"/>
          <w:sz w:val="28"/>
          <w:szCs w:val="28"/>
          <w:bdr w:val="none" w:sz="0" w:space="0" w:color="auto"/>
          <w:vertAlign w:val="baseline"/>
        </w:rPr>
      </w:pPr>
      <w:r>
        <w:rPr>
          <w:rFonts w:ascii="Lora" w:eastAsia="Lora" w:hAnsi="Lora" w:cs="Lora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Lora" w:eastAsia="Lora" w:hAnsi="Lora" w:cs="Lora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Lora" w:eastAsia="Lora" w:hAnsi="Lora" w:cs="Lora"/>
          <w:color w:val="050505"/>
          <w:sz w:val="20"/>
          <w:szCs w:val="20"/>
          <w:bdr w:val="none" w:sz="0" w:space="0" w:color="auto"/>
          <w:vertAlign w:val="baseline"/>
        </w:rPr>
        <w:t>Experienced risk management professional with a strong background in credit, market, and operational risk assessment and regulatory compliance. Skilled in developing risk dashboards and financial data analysis to inform strategic decision-making. Seeking to leverage expertise in a new role to drive effective risk management and process optimization.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Lora" w:eastAsia="Lora" w:hAnsi="Lora" w:cs="Lora"/>
          <w:b/>
          <w:bCs/>
          <w:caps/>
          <w:color w:val="050505"/>
          <w:sz w:val="28"/>
          <w:szCs w:val="28"/>
          <w:bdr w:val="none" w:sz="0" w:space="0" w:color="auto"/>
          <w:vertAlign w:val="baseline"/>
        </w:rPr>
      </w:pPr>
      <w:r>
        <w:rPr>
          <w:rFonts w:ascii="Lora" w:eastAsia="Lora" w:hAnsi="Lora" w:cs="Lora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41"/>
        <w:gridCol w:w="780"/>
        <w:gridCol w:w="5039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Assessment &amp; Analysis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Credit Risk Management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 &amp; Operational Risk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Data Analysis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Regulatory Compliance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Reporting &amp; Dashboards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Modeling &amp; Forecasting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Process Optimization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Collaboration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ERP &amp; Risk Management Tools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Lora" w:eastAsia="Lora" w:hAnsi="Lora" w:cs="Lora"/>
          <w:b/>
          <w:bCs/>
          <w:caps/>
          <w:color w:val="050505"/>
          <w:sz w:val="28"/>
          <w:szCs w:val="28"/>
          <w:bdr w:val="none" w:sz="0" w:space="0" w:color="auto"/>
          <w:vertAlign w:val="baseline"/>
        </w:rPr>
      </w:pPr>
      <w:r>
        <w:rPr>
          <w:rFonts w:ascii="Lora" w:eastAsia="Lora" w:hAnsi="Lora" w:cs="Lora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100" w:right="0"/>
              <w:textAlignment w:val="auto"/>
              <w:rPr>
                <w:rStyle w:val="skn-slo3sectionexpr-secparlrColmntimeline-svg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78306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78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60" w:lineRule="atLeast"/>
              <w:ind w:left="100" w:right="0"/>
              <w:rPr>
                <w:rStyle w:val="skn-slo3sectionexpr-secparlrColmnsinglecolumn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Lora" w:eastAsia="Lora" w:hAnsi="Lora" w:cs="Lora"/>
                <w:b/>
                <w:bCs/>
                <w:caps/>
                <w:color w:val="050505"/>
                <w:sz w:val="20"/>
                <w:szCs w:val="20"/>
              </w:rPr>
              <w:t>Financial Risk Associate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Lora" w:eastAsia="Lora" w:hAnsi="Lora" w:cs="Lora"/>
                <w:sz w:val="20"/>
                <w:szCs w:val="20"/>
              </w:rPr>
              <w:t>Deloitte India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100" w:right="0"/>
                    <w:textAlignment w:val="auto"/>
                    <w:rPr>
                      <w:rStyle w:val="span"/>
                      <w:rFonts w:ascii="Lora" w:eastAsia="Lora" w:hAnsi="Lora" w:cs="Lora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Lora" w:eastAsia="Lora" w:hAnsi="Lora" w:cs="Lora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Lora" w:eastAsia="Lora" w:hAnsi="Lora" w:cs="Lora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Lora" w:eastAsia="Lora" w:hAnsi="Lora" w:cs="Lora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inglecolumnspanpaddedlinenth-child1"/>
                      <w:rFonts w:ascii="Lora" w:eastAsia="Lora" w:hAnsi="Lora" w:cs="Lora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Lora" w:eastAsia="Lora" w:hAnsi="Lora" w:cs="Lora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>January 2021</w:t>
                  </w:r>
                  <w:r>
                    <w:rPr>
                      <w:rStyle w:val="span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 credit risk assessments for corporate clients to ensure exposure limits are accurately maintained and managed.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 risk dashboards and reports to present insights to senior management for informed decision-making.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Implement risk mitigation strategies and monitor their effectiveness across multiple financial portfolios.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 with compliance teams to ensure adherence to regulatory guidelines and internal policies.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Analyze financial and operational data to identify emerging risk trends and potential issues proactively.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 ERP and risk management tools implementation to automate reporting and improve accuracy.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 periodic risk reviews and recommend adjustments to policies and procedures based on findings.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100" w:right="0"/>
              <w:textAlignment w:val="auto"/>
              <w:rPr>
                <w:rStyle w:val="skn-slo3sectionexpr-secparlrColmntimeline-svg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12700</wp:posOffset>
                  </wp:positionV>
                  <wp:extent cx="89410" cy="12754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60" w:lineRule="atLeast"/>
              <w:ind w:left="100" w:right="0"/>
              <w:rPr>
                <w:rStyle w:val="skn-slo3sectionexpr-secparlrColmnsinglecolumn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Lora" w:eastAsia="Lora" w:hAnsi="Lora" w:cs="Lora"/>
                <w:b/>
                <w:bCs/>
                <w:caps/>
                <w:color w:val="050505"/>
                <w:sz w:val="20"/>
                <w:szCs w:val="20"/>
              </w:rPr>
              <w:t>Risk Analyst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Lora" w:eastAsia="Lora" w:hAnsi="Lora" w:cs="Lora"/>
                <w:sz w:val="20"/>
                <w:szCs w:val="20"/>
              </w:rPr>
              <w:t>KPMG India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100" w:right="0"/>
                    <w:textAlignment w:val="auto"/>
                    <w:rPr>
                      <w:rStyle w:val="span"/>
                      <w:rFonts w:ascii="Lora" w:eastAsia="Lora" w:hAnsi="Lora" w:cs="Lora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Lora" w:eastAsia="Lora" w:hAnsi="Lora" w:cs="Lora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inglecolumnspanpaddedlinenth-child1"/>
                      <w:rFonts w:ascii="Lora" w:eastAsia="Lora" w:hAnsi="Lora" w:cs="Lora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Lora" w:eastAsia="Lora" w:hAnsi="Lora" w:cs="Lora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>July 2017</w:t>
                  </w:r>
                  <w:r>
                    <w:rPr>
                      <w:rStyle w:val="span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>December 2020</w:t>
                  </w:r>
                  <w:r>
                    <w:rPr>
                      <w:rStyle w:val="skn-slo3txt-itl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Evaluated market, credit, and operational risks to support management in reducing financial exposure.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detailed risk reports and presented findings to senior stakeholders for strategic planning.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developing risk assessment frameworks to standardize evaluation processes across departments.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scenario analysis and stress testing to forecast potential financial impacts effectively.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internal and external audit teams to ensure regulatory compliance and documentation.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Automated recurring risk reporting tasks to enhance efficiency and accuracy in analysis.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60" w:lineRule="atLeast"/>
                    <w:ind w:left="400" w:right="0" w:hanging="400"/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Trained junior analysts on risk assessment tools, methodologies, and reporting standards.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12700</wp:posOffset>
                  </wp:positionV>
                  <wp:extent cx="89410" cy="12754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60" w:lineRule="atLeast"/>
              <w:ind w:left="100" w:right="0"/>
              <w:rPr>
                <w:rStyle w:val="skn-slo3sectionexpr-secparlrColmnparagraphnth-last-child1singlecolumn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Lora" w:eastAsia="Lora" w:hAnsi="Lora" w:cs="Lora"/>
                <w:b/>
                <w:bCs/>
                <w:caps/>
                <w:color w:val="050505"/>
                <w:sz w:val="20"/>
                <w:szCs w:val="20"/>
              </w:rPr>
              <w:t>Junior Risk Analyst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Lora" w:eastAsia="Lora" w:hAnsi="Lora" w:cs="Lora"/>
                <w:sz w:val="20"/>
                <w:szCs w:val="20"/>
              </w:rPr>
              <w:t>PwC India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100" w:right="0"/>
                    <w:textAlignment w:val="auto"/>
                    <w:rPr>
                      <w:rStyle w:val="span"/>
                      <w:rFonts w:ascii="Lora" w:eastAsia="Lora" w:hAnsi="Lora" w:cs="Lora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Lora" w:eastAsia="Lora" w:hAnsi="Lora" w:cs="Lora"/>
                      <w:color w:val="050505"/>
                      <w:sz w:val="20"/>
                      <w:szCs w:val="20"/>
                    </w:rPr>
                    <w:t>Hyderabad</w:t>
                  </w:r>
                  <w:r>
                    <w:rPr>
                      <w:rStyle w:val="singlecolumnspanpaddedlinenth-child1"/>
                      <w:rFonts w:ascii="Lora" w:eastAsia="Lora" w:hAnsi="Lora" w:cs="Lora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Lora" w:eastAsia="Lora" w:hAnsi="Lora" w:cs="Lora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>January 2015</w:t>
                  </w:r>
                  <w:r>
                    <w:rPr>
                      <w:rStyle w:val="span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>June 2017</w:t>
                  </w:r>
                  <w:r>
                    <w:rPr>
                      <w:rStyle w:val="skn-slo3txt-itl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before="0" w:after="100" w:line="260" w:lineRule="atLeast"/>
                    <w:ind w:left="400" w:right="0" w:hanging="400"/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risk evaluation projects by collecting and analyzing financial and operational data accurately.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preparing credit and market risk reports for management review and recommendations.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compliance with internal policies and regulatory requirements to reduce operational risks.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Standardized risk reporting templates to improve consistency and readability across departments.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variance analysis and identified potential risk exposures for management attention.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60" w:lineRule="atLeast"/>
                    <w:ind w:left="400" w:right="0" w:hanging="400"/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ERP tool testing and validation to ensure proper risk reporting outputs.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0" w:line="260" w:lineRule="atLeast"/>
                    <w:ind w:left="400" w:right="0" w:hanging="400"/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cross-functional teams in implementing risk mitigation measures and process improvements.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Lora" w:eastAsia="Lora" w:hAnsi="Lora" w:cs="Lora"/>
          <w:b/>
          <w:bCs/>
          <w:caps/>
          <w:color w:val="050505"/>
          <w:sz w:val="28"/>
          <w:szCs w:val="28"/>
          <w:bdr w:val="none" w:sz="0" w:space="0" w:color="auto"/>
          <w:vertAlign w:val="baseline"/>
        </w:rPr>
      </w:pPr>
      <w:r>
        <w:rPr>
          <w:rFonts w:ascii="Lora" w:eastAsia="Lora" w:hAnsi="Lora" w:cs="Lora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100" w:right="0"/>
              <w:textAlignment w:val="auto"/>
              <w:rPr>
                <w:rStyle w:val="skn-slo3sectionedu-secparlrColmntimeline-svg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78306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78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60" w:lineRule="atLeast"/>
                    <w:ind w:left="100" w:right="0"/>
                    <w:rPr>
                      <w:rStyle w:val="skn-slo3edu-secparagraphsinglecolumnedu-headerfield-groupfield-group-left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Lora" w:eastAsia="Lora" w:hAnsi="Lora" w:cs="Lora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3edu-seccmn-title"/>
                      <w:rFonts w:ascii="Lora" w:eastAsia="Lora" w:hAnsi="Lora" w:cs="Lora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60" w:lineRule="atLeast"/>
                    <w:ind w:left="100" w:right="0"/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6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60" w:lineRule="atLeast"/>
                    <w:ind w:left="100" w:right="0"/>
                    <w:rPr>
                      <w:rStyle w:val="skn-slo3edu-secparagraphsinglecolumnedu-headerfield-groupfield-group-left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Lora" w:eastAsia="Lora" w:hAnsi="Lora" w:cs="Lora"/>
                      <w:sz w:val="20"/>
                      <w:szCs w:val="20"/>
                    </w:rPr>
                    <w:t>St. Xavier's High School</w:t>
                  </w:r>
                  <w:r>
                    <w:rPr>
                      <w:rStyle w:val="skn-slo3tbl-leftinner"/>
                      <w:rFonts w:ascii="Lora" w:eastAsia="Lora" w:hAnsi="Lora" w:cs="Lora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60" w:lineRule="atLeast"/>
                    <w:ind w:left="100" w:right="0"/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6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>January 2007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100" w:right="0"/>
              <w:textAlignment w:val="auto"/>
              <w:rPr>
                <w:rStyle w:val="skn-slo3sectionedu-secparlrColmntimeline-svg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12700</wp:posOffset>
                  </wp:positionV>
                  <wp:extent cx="89410" cy="127540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60" w:lineRule="atLeast"/>
                    <w:ind w:left="100" w:right="0"/>
                    <w:rPr>
                      <w:rStyle w:val="skn-slo3edu-secparagraphsinglecolumnedu-headerfield-groupfield-group-left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Lora" w:eastAsia="Lora" w:hAnsi="Lora" w:cs="Lora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3edu-seccmn-title"/>
                      <w:rFonts w:ascii="Lora" w:eastAsia="Lora" w:hAnsi="Lora" w:cs="Lora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60" w:lineRule="atLeast"/>
                    <w:ind w:left="100" w:right="0"/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6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60" w:lineRule="atLeast"/>
                    <w:ind w:left="100" w:right="0"/>
                    <w:rPr>
                      <w:rStyle w:val="skn-slo3edu-secparagraphsinglecolumnedu-headerfield-groupfield-group-left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Lora" w:eastAsia="Lora" w:hAnsi="Lora" w:cs="Lora"/>
                      <w:sz w:val="20"/>
                      <w:szCs w:val="20"/>
                    </w:rPr>
                    <w:t>St. Xavier's High School</w:t>
                  </w:r>
                  <w:r>
                    <w:rPr>
                      <w:rStyle w:val="skn-slo3tbl-leftinner"/>
                      <w:rFonts w:ascii="Lora" w:eastAsia="Lora" w:hAnsi="Lora" w:cs="Lora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60" w:lineRule="atLeast"/>
                    <w:ind w:left="100" w:right="0"/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6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>January 2009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643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12700</wp:posOffset>
                  </wp:positionV>
                  <wp:extent cx="89410" cy="127540"/>
                  <wp:wrapNone/>
                  <wp:docPr id="10002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60" w:lineRule="atLeast"/>
                    <w:ind w:left="100" w:right="0"/>
                    <w:rPr>
                      <w:rStyle w:val="skn-slo3edu-secparagraphsinglecolumnedu-headerfield-groupfield-group-left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Lora" w:eastAsia="Lora" w:hAnsi="Lora" w:cs="Lora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Commerce</w:t>
                  </w:r>
                  <w:r>
                    <w:rPr>
                      <w:rStyle w:val="skn-slo3edu-seccmn-title"/>
                      <w:rFonts w:ascii="Lora" w:eastAsia="Lora" w:hAnsi="Lora" w:cs="Lora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60" w:lineRule="atLeast"/>
                    <w:ind w:left="100" w:right="0"/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6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60" w:lineRule="atLeast"/>
                    <w:ind w:left="100" w:right="0"/>
                    <w:rPr>
                      <w:rStyle w:val="skn-slo3edu-secparagraphsinglecolumnedu-headerfield-groupfield-group-left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Lora" w:eastAsia="Lora" w:hAnsi="Lora" w:cs="Lora"/>
                      <w:sz w:val="20"/>
                      <w:szCs w:val="20"/>
                    </w:rPr>
                    <w:t>Narsee Monjee College</w:t>
                  </w:r>
                  <w:r>
                    <w:rPr>
                      <w:rStyle w:val="skn-slo3tbl-leftinner"/>
                      <w:rFonts w:ascii="Lora" w:eastAsia="Lora" w:hAnsi="Lora" w:cs="Lora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60" w:lineRule="atLeast"/>
                    <w:ind w:left="100" w:right="0"/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6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Lora" w:eastAsia="Lora" w:hAnsi="Lora" w:cs="Lora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Lora" w:eastAsia="Lora" w:hAnsi="Lora" w:cs="Lora"/>
                      <w:i/>
                      <w:iCs/>
                      <w:color w:val="050505"/>
                      <w:sz w:val="20"/>
                      <w:szCs w:val="20"/>
                    </w:rPr>
                    <w:t>January 2012</w:t>
                  </w: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Lora" w:eastAsia="Lora" w:hAnsi="Lora" w:cs="Lora"/>
          <w:b/>
          <w:bCs/>
          <w:caps/>
          <w:color w:val="050505"/>
          <w:sz w:val="28"/>
          <w:szCs w:val="28"/>
          <w:bdr w:val="none" w:sz="0" w:space="0" w:color="auto"/>
          <w:vertAlign w:val="baseline"/>
        </w:rPr>
      </w:pPr>
      <w:r>
        <w:rPr>
          <w:rFonts w:ascii="Lora" w:eastAsia="Lora" w:hAnsi="Lora" w:cs="Lora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43"/>
        <w:gridCol w:w="780"/>
        <w:gridCol w:w="5037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 Excel for Risk Professionals, NIIT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Modeling &amp; Valuation Analyst (FMVA), CFI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Risk Manager (FRM)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280" w:lineRule="atLeast"/>
              <w:ind w:left="300" w:right="0" w:hanging="300"/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Lora" w:eastAsia="Lora" w:hAnsi="Lora" w:cs="Lora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Credit Risk Certification (NSE Academy)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Lora" w:eastAsia="Lora" w:hAnsi="Lora" w:cs="Lora"/>
          <w:b/>
          <w:bCs/>
          <w:caps/>
          <w:color w:val="050505"/>
          <w:sz w:val="28"/>
          <w:szCs w:val="28"/>
          <w:bdr w:val="none" w:sz="0" w:space="0" w:color="auto"/>
          <w:vertAlign w:val="baseline"/>
        </w:rPr>
      </w:pPr>
      <w:r>
        <w:rPr>
          <w:rFonts w:ascii="Lora" w:eastAsia="Lora" w:hAnsi="Lora" w:cs="Lora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Lora" w:eastAsia="Lora" w:hAnsi="Lora" w:cs="Lora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Lora" w:eastAsia="Lora" w:hAnsi="Lora" w:cs="Lora"/>
          <w:color w:val="050505"/>
          <w:sz w:val="20"/>
          <w:szCs w:val="20"/>
          <w:bdr w:val="none" w:sz="0" w:space="0" w:color="auto"/>
          <w:vertAlign w:val="baseline"/>
        </w:rPr>
        <w:t>Risk Dashboard Implementation, Developed ERP-linked dashboards improving risk visibility and reporting efficiency. Credit Exposure Analysis, Standardized credit assessment process reducing overdue accounts by 15% across portfolios.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Lora" w:eastAsia="Lora" w:hAnsi="Lora" w:cs="Lora"/>
          <w:b/>
          <w:bCs/>
          <w:caps/>
          <w:color w:val="050505"/>
          <w:sz w:val="28"/>
          <w:szCs w:val="28"/>
          <w:bdr w:val="none" w:sz="0" w:space="0" w:color="auto"/>
          <w:vertAlign w:val="baseline"/>
        </w:rPr>
      </w:pPr>
      <w:r>
        <w:rPr>
          <w:rFonts w:ascii="Lora" w:eastAsia="Lora" w:hAnsi="Lora" w:cs="Lora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60" w:lineRule="atLeast"/>
        <w:ind w:left="400" w:right="0" w:hanging="232"/>
        <w:rPr>
          <w:rFonts w:ascii="Lora" w:eastAsia="Lora" w:hAnsi="Lora" w:cs="Lora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Lora" w:eastAsia="Lora" w:hAnsi="Lora" w:cs="Lora"/>
          <w:color w:val="050505"/>
          <w:sz w:val="20"/>
          <w:szCs w:val="20"/>
          <w:bdr w:val="none" w:sz="0" w:space="0" w:color="auto"/>
          <w:vertAlign w:val="baseline"/>
        </w:rPr>
        <w:t>Implemented automated risk dashboards at Deloitte India improving reporting speed and accuracy by 30%.</w:t>
      </w:r>
    </w:p>
    <w:p>
      <w:pPr>
        <w:pStyle w:val="skn-slo3ulliParagraph"/>
        <w:numPr>
          <w:ilvl w:val="0"/>
          <w:numId w:val="18"/>
        </w:numPr>
        <w:spacing w:after="100" w:line="260" w:lineRule="atLeast"/>
        <w:ind w:left="400" w:right="0" w:hanging="232"/>
        <w:rPr>
          <w:rFonts w:ascii="Lora" w:eastAsia="Lora" w:hAnsi="Lora" w:cs="Lora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Lora" w:eastAsia="Lora" w:hAnsi="Lora" w:cs="Lora"/>
          <w:color w:val="050505"/>
          <w:sz w:val="20"/>
          <w:szCs w:val="20"/>
          <w:bdr w:val="none" w:sz="0" w:space="0" w:color="auto"/>
          <w:vertAlign w:val="baseline"/>
        </w:rPr>
        <w:t>Contributed to risk framework standardization at KPMG India enhancing consistency across departments.</w:t>
      </w:r>
    </w:p>
    <w:p>
      <w:pPr>
        <w:pStyle w:val="skn-slo3ullinth-last-child1Paragraph"/>
        <w:numPr>
          <w:ilvl w:val="0"/>
          <w:numId w:val="18"/>
        </w:numPr>
        <w:spacing w:after="0" w:line="260" w:lineRule="atLeast"/>
        <w:ind w:left="400" w:right="0" w:hanging="232"/>
        <w:rPr>
          <w:rFonts w:ascii="Lora" w:eastAsia="Lora" w:hAnsi="Lora" w:cs="Lora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Lora" w:eastAsia="Lora" w:hAnsi="Lora" w:cs="Lora"/>
          <w:color w:val="050505"/>
          <w:sz w:val="20"/>
          <w:szCs w:val="20"/>
          <w:bdr w:val="none" w:sz="0" w:space="0" w:color="auto"/>
          <w:vertAlign w:val="baseline"/>
        </w:rPr>
        <w:t>Reduced credit exposure and potential defaults at PwC India through proactive risk analysis and mitigation.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Lora" w:eastAsia="Lora" w:hAnsi="Lora" w:cs="Lora"/>
          <w:b/>
          <w:bCs/>
          <w:caps/>
          <w:color w:val="050505"/>
          <w:sz w:val="28"/>
          <w:szCs w:val="28"/>
          <w:bdr w:val="none" w:sz="0" w:space="0" w:color="auto"/>
          <w:vertAlign w:val="baseline"/>
        </w:rPr>
      </w:pPr>
      <w:r>
        <w:rPr>
          <w:rFonts w:ascii="Lora" w:eastAsia="Lora" w:hAnsi="Lora" w:cs="Lora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</w:pPr>
            <w:r>
              <w:rPr>
                <w:rStyle w:val="span"/>
                <w:rFonts w:ascii="Lora" w:eastAsia="Lora" w:hAnsi="Lora" w:cs="Lora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Lora" w:eastAsia="Lora" w:hAnsi="Lora" w:cs="Lora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ora">
    <w:charset w:val="00"/>
    <w:family w:val="auto"/>
    <w:pitch w:val="default"/>
    <w:sig w:usb0="00000000" w:usb1="00000000" w:usb2="00000000" w:usb3="00000000" w:csb0="00000001" w:csb1="00000000"/>
    <w:embedRegular r:id="rId1" w:fontKey="{530D3102-C6FB-4A00-A967-A3EF8C7C9139}"/>
    <w:embedBold r:id="rId2" w:fontKey="{3A8C485D-387C-4494-803A-AB2320A2567C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paragraph" w:customStyle="1" w:styleId="skn-slo3pict-secsection">
    <w:name w:val="skn-slo3_pict-sec_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pict-pic">
    <w:name w:val="skn-slo3_pict-pic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name-sec">
    <w:name w:val="skn-slo3_name-sec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38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60" w:lineRule="atLeast"/>
    </w:pPr>
    <w:rPr>
      <w:color w:val="050505"/>
      <w:sz w:val="28"/>
      <w:szCs w:val="28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28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050505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Siddarth Mehta</dc:title>
  <cp:revision>0</cp:revision>
</cp:coreProperties>
</file>