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Ankit</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Sharma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61C1B1"/>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Financial Auditor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61C1B1"/>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ankit.sharma@example.com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September</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1995</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Professional Summary</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Financial Auditor with a strong background in statutory and internal audits, financial statement analysis, and compliance review. Proven ability to assess internal controls, identify risks, and recommend practical improvements. Eager to leverage expertise in audit planning and client coordination to support a dynamic team and drive organizational success.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Skills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3"/>
        <w:gridCol w:w="5717"/>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Statutory Audit</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Internal Audit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Statement Analysis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Audit Planning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Risk Assessment</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Internal Controls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Compliance Review</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Accounting Standards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Audit Documentation</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Coordination</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Experience</w:t>
            </w:r>
            <w:r>
              <w:rPr>
                <w:rStyle w:val="documentheadingpadding"/>
                <w:color w:val="FFFFFF"/>
                <w:shd w:val="clear" w:color="auto" w:fill="61C1B1"/>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Financial Auditor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Deloitte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Planned and executed statutory audits for mid-sized corporate clients, ensuring compliance with Indian accounting and auditing standards.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financial statements, ledgers, and supporting documents to verify accuracy, completeness, and appropriate financial disclosures.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Assessed internal control systems and identified control weaknesses, recommending practical improvements to management teams.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client finance teams to obtain audit evidence, resolve queries, and close audit issues within timelines.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detailed audit working papers and ensured proper documentation as per firm and regulatory requirements.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audit seniors during finalization meetings and assisted in drafting audit observations and management letters.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compliance with statutory deadlines and maintained quality standards during internal and external audit reviews.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2018</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Audit Associate</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Grant Thornton India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conducting internal and statutory audits for manufacturing and service sector clients across multiple engagements.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Verified books of accounts, vouchers, invoices, and bank reconciliations to ensure financial accuracy and policy compliance.</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analytical procedures to identify unusual trends, variances, and potential risk areas during audits.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Documented audit findings and supported senior auditors in preparing audit reports and client presentations.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compliance with Companies Act, tax regulations, and internal financial policies during audit assignments.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audit teams to track audit progress and ensure timely completion of assigned audit areas.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Participated in audit planning discussions and gained exposure to audit methodologies and quality review processes.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Education</w:t>
            </w:r>
            <w:r>
              <w:rPr>
                <w:rStyle w:val="documentheadingpadding"/>
                <w:color w:val="FFFFFF"/>
                <w:shd w:val="clear" w:color="auto" w:fill="61C1B1"/>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10th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2013</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12th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Fergusson College Junior Wing</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Apr 2016</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Bachelor of Commerce (B.Com)</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Accounting and Finance</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Certifications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1"/>
        <w:gridCol w:w="5719"/>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ICAI Certificate Course on Concurrent Audit</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ICAI Certificate Course on GST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 Intermediate (Group I Cleared)</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NISM Series VIII: Equity Derivatives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Projects</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Internal Control Review Project, Evaluated internal control frameworks for a mid-sized manufacturing client and documented control improvement recommendations. Statutory Audit Closure Project, Supported year-end statutory audit completion by coordinating audit evidence and resolving outstanding audit queries.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Accomplishments</w:t>
      </w:r>
      <w:r>
        <w:rPr>
          <w:rStyle w:val="documentheadingpadding"/>
          <w:color w:val="FFFFFF"/>
          <w:shd w:val="clear" w:color="auto" w:fill="61C1B1"/>
        </w:rPr>
        <w:t>   </w:t>
      </w:r>
    </w:p>
    <w:p>
      <w:pPr>
        <w:pStyle w:val="documentskn-mlo4ulli"/>
        <w:numPr>
          <w:ilvl w:val="0"/>
          <w:numId w:val="17"/>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by Deloitte India for timely completion of multiple statutory audits during peak audit season.</w:t>
      </w:r>
    </w:p>
    <w:p>
      <w:pPr>
        <w:pStyle w:val="documentskn-mlo4ulli"/>
        <w:numPr>
          <w:ilvl w:val="0"/>
          <w:numId w:val="17"/>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Contributed to successful audit closure for key clients at Grant Thornton India with minimal review observations.</w:t>
      </w:r>
    </w:p>
    <w:p>
      <w:pPr>
        <w:pStyle w:val="documentskn-mlo4ullinth-last-child1"/>
        <w:numPr>
          <w:ilvl w:val="0"/>
          <w:numId w:val="17"/>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audit documentation quality, reducing internal review comments during quality checks at Deloitte India.</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References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B4CE2BD-9B3F-4371-A258-0E42D3AC533B}"/>
    <w:embedBold r:id="rId2" w:fontKey="{535A5B37-0540-4EFE-842C-2B67CB01BF2A}"/>
  </w:font>
  <w:font w:name="Abel">
    <w:charset w:val="00"/>
    <w:family w:val="auto"/>
    <w:pitch w:val="default"/>
    <w:embedRegular r:id="rId3" w:fontKey="{A6F2C9C3-05FD-46C5-9F78-EE95158DE2C8}"/>
  </w:font>
  <w:font w:name="Barlow Condensed">
    <w:charset w:val="00"/>
    <w:family w:val="auto"/>
    <w:pitch w:val="default"/>
    <w:embedRegular r:id="rId4" w:fontKey="{43C9422B-AD6E-4A4D-89BE-6A7CB0800A1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61C1B1"/>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61C1B1"/>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