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Ankit</w:t>
            </w:r>
            <w:r>
              <w:rPr>
                <w:rStyle w:val="skn-mlo7top-sectiontop-box"/>
                <w:caps/>
                <w:color w:val="050505"/>
                <w:bdr w:val="none" w:sz="0" w:space="0" w:color="auto"/>
                <w:vertAlign w:val="baseline"/>
              </w:rPr>
              <w:t xml:space="preserve"> </w:t>
            </w:r>
            <w:r>
              <w:rPr>
                <w:rStyle w:val="span"/>
                <w:caps/>
                <w:color w:val="050505"/>
              </w:rPr>
              <w:t>Sharma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1e666f"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Financial Advisor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1E666F"/>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ankit.sharma@example.com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12 September 1995</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Strategic financial advisor with expertise in investment advisory, risk profiling, and wealth management, adept at developing tailored financial solutions that align with client goals. Proficient in conducting portfolio reviews and ensuring regulatory compliance. Eager to leverage skills to drive client success and growth in a financial advisor role.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Financial Planning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Investment Advisory</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Client Relationship Management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Risk Profiling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Portfolio Review</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Mutual Fund Advisory</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Insurance Planning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Goal-Based Planning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Regulatory Compliance</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Wealth Management</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Financial Advisor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ICICI Prudential Wealth Management</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2021</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Assessed client financial goals and risk profiles to recommend suitable investment and insurance solutions.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regular portfolio reviews and suggested rebalancing based on market conditions and life stage changes.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Explained mutual funds, bonds, and insurance products in simple terms to support informed client decisions.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detailed client records and ensured compliance with internal policies and regulatory guidelines.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clients during market volatility through timely communication and clear financial guidance.</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Collaborated with internal product teams to deliver customized solutions for high value clients.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Achieved consistent advisory revenue growth through referrals and long-term relationship building.</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Relationship Officer – Financial Advisory</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HDFC Life Insurance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2019</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2021</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Advised individual clients on life insurance and savings products based on income and protection requirements.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Generated new client leads through field activities, referrals, and branch coordination.</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premium illustrations and policy documentation with accuracy and timely follow-up.</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Handled customer service requests including policy changes, renewals, and claim support.</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basic financial need analysis to align insurance solutions with client objectives.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Tracked monthly targets and ensured timely achievement through structured sales planning.</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strong post-sales relationships to improve retention and cross-selling opportunities.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Commerce (B.Com)</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Finance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Apr 2016</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Mumbai University</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Higher Secondary</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2013</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Maharashtra State Board</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Secondary</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2011</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Maharashtra State Board</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Financial Planning Foundation Course – FPSB India</w:t>
                  </w:r>
                </w:p>
              </w:tc>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Mutual Fund Advisory Program – NSE Academy</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IRDAI Licensed Insurance Advisor</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NISM Series V-A – Mutual Fund Distributors Certification</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Created goal-based investment plans for salaried clients focusing on retirement and children education planning. Executed portfolio restructuring project to reduce risk exposure during volatile equity market conditions.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Industry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Financial Services and Wealth Management</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Achieved top advisor recognition at ICICI Prudential for highest client retention ratio.</w:t>
            </w:r>
          </w:p>
          <w:p>
            <w:pPr>
              <w:pStyle w:val="skn-mlo7ulli"/>
              <w:numPr>
                <w:ilvl w:val="0"/>
                <w:numId w:val="5"/>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Exceeded annual advisory targets at HDFC Life Insurance Ltd. through consistent client acquisition.</w:t>
            </w:r>
          </w:p>
          <w:p>
            <w:pPr>
              <w:pStyle w:val="skn-mlo7ullinth-last-child1"/>
              <w:numPr>
                <w:ilvl w:val="0"/>
                <w:numId w:val="5"/>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Maintained zero compliance deviations across audits during advisory tenure.</w:t>
            </w: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C88BBEE7-B83E-48E5-811B-BECD2B842D52}"/>
  </w:font>
  <w:font w:name="Calibri">
    <w:charset w:val="00"/>
    <w:family w:val="auto"/>
    <w:pitch w:val="default"/>
    <w:embedRegular r:id="rId2" w:fontKey="{DB30EF5F-63CB-4590-B600-62A75B293DD0}"/>
    <w:embedBold r:id="rId3" w:fontKey="{2C168E3F-ACB1-4906-A8FC-2DEFAE2D5830}"/>
  </w:font>
  <w:font w:name="Open Sans">
    <w:charset w:val="00"/>
    <w:family w:val="auto"/>
    <w:pitch w:val="default"/>
    <w:sig w:usb0="00000000" w:usb1="00000000" w:usb2="00000000" w:usb3="00000000" w:csb0="00000001" w:csb1="00000000"/>
    <w:embedRegular r:id="rId4" w:fontKey="{A431EABF-7F4B-4ACA-89BE-105EDD10D53B}"/>
    <w:embedBold r:id="rId5" w:fontKey="{6255B2B9-DD46-4735-B804-2A582BD39D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