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documentskn-mlo4firstparagraphparagraph"/>
        <w:tblW w:w="0" w:type="auto"/>
        <w:tblCellSpacing w:w="0" w:type="dxa"/>
        <w:tblBorders>
          <w:top w:val="single" w:sz="8" w:space="0" w:color="000000"/>
        </w:tblBorders>
        <w:tblLayout w:type="fixed"/>
        <w:tblCellMar>
          <w:top w:w="280" w:type="dxa"/>
          <w:left w:w="0" w:type="dxa"/>
          <w:bottom w:w="0" w:type="dxa"/>
          <w:right w:w="0" w:type="dxa"/>
        </w:tblCellMar>
        <w:tblLook w:val="05E0"/>
      </w:tblPr>
      <w:tblGrid>
        <w:gridCol w:w="2000"/>
        <w:gridCol w:w="200"/>
        <w:gridCol w:w="6978"/>
        <w:gridCol w:w="200"/>
        <w:gridCol w:w="2000"/>
      </w:tblGrid>
      <w:tr>
        <w:tblPrEx>
          <w:tblW w:w="0" w:type="auto"/>
          <w:tblCellSpacing w:w="0" w:type="dxa"/>
          <w:tblBorders>
            <w:top w:val="single" w:sz="8" w:space="0" w:color="000000"/>
          </w:tblBorders>
          <w:tblLayout w:type="fixed"/>
          <w:tblCellMar>
            <w:top w:w="28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2000" w:type="dxa"/>
            <w:vMerge w:val="restart"/>
            <w:tcBorders>
              <w:lef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before="160" w:after="0" w:line="260" w:lineRule="atLeast"/>
              <w:ind w:left="160" w:right="0"/>
              <w:jc w:val="left"/>
              <w:rPr>
                <w:rStyle w:val="documentPARAGRAPHNAMEnamecellnamephotopadding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20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before="0" w:after="0" w:line="260" w:lineRule="atLeast"/>
              <w:ind w:left="0" w:right="0"/>
              <w:jc w:val="center"/>
              <w:rPr>
                <w:rStyle w:val="documentPARAGRAPHNAMEnamecellnamephotopadding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PARAGRAPHNAMEnamecellphoto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  <w:r>
              <w:rPr>
                <w:rStyle w:val="documentPARAGRAPHNAMEnamecellphoto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</w:p>
        </w:tc>
        <w:tc>
          <w:tcPr>
            <w:tcW w:w="6978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before="0" w:after="0" w:line="340" w:lineRule="exact"/>
              <w:ind w:left="0" w:right="0"/>
              <w:jc w:val="center"/>
              <w:rPr>
                <w:rStyle w:val="documentPARAGRAPHNAMEnamecellnamemid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  <w:p>
            <w:pPr>
              <w:pStyle w:val="documentskn-mlo4txt-caps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before="0" w:after="0" w:line="800" w:lineRule="atLeast"/>
              <w:ind w:left="0" w:right="0"/>
              <w:jc w:val="center"/>
              <w:rPr>
                <w:rStyle w:val="documentPARAGRAPHNAMEnamecellnamemidcell"/>
                <w:rFonts w:ascii="Abel" w:eastAsia="Abel" w:hAnsi="Abel" w:cs="Abel"/>
                <w:caps/>
                <w:color w:val="010101"/>
                <w:spacing w:val="16"/>
                <w:sz w:val="68"/>
                <w:szCs w:val="68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Abel" w:eastAsia="Abel" w:hAnsi="Abel" w:cs="Abel"/>
                <w:caps/>
                <w:color w:val="010101"/>
                <w:spacing w:val="16"/>
                <w:sz w:val="68"/>
                <w:szCs w:val="68"/>
              </w:rPr>
              <w:t>Ridhima</w:t>
            </w:r>
            <w:r>
              <w:rPr>
                <w:rStyle w:val="documentPARAGRAPHNAMEnamecellnamemidcell"/>
                <w:rFonts w:ascii="Abel" w:eastAsia="Abel" w:hAnsi="Abel" w:cs="Abel"/>
                <w:caps/>
                <w:color w:val="010101"/>
                <w:spacing w:val="16"/>
                <w:sz w:val="68"/>
                <w:szCs w:val="68"/>
                <w:bdr w:val="none" w:sz="0" w:space="0" w:color="auto"/>
                <w:vertAlign w:val="baseline"/>
              </w:rPr>
              <w:t xml:space="preserve"> </w:t>
            </w:r>
            <w:r>
              <w:rPr>
                <w:rStyle w:val="span"/>
                <w:rFonts w:ascii="Abel" w:eastAsia="Abel" w:hAnsi="Abel" w:cs="Abel"/>
                <w:caps/>
                <w:color w:val="010101"/>
                <w:spacing w:val="16"/>
                <w:sz w:val="68"/>
                <w:szCs w:val="68"/>
              </w:rPr>
              <w:t>Kapoor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before="0" w:after="0" w:line="300" w:lineRule="exact"/>
              <w:ind w:left="0" w:right="0"/>
              <w:jc w:val="center"/>
              <w:rPr>
                <w:rStyle w:val="documentPARAGRAPHNAMEnamecellnamemid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20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ocumentPARAGRAPHNAMEnamecellnamerightcel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line="260" w:lineRule="atLeast"/>
              <w:ind w:left="0" w:right="0"/>
              <w:jc w:val="center"/>
              <w:textAlignment w:val="top"/>
              <w:rPr>
                <w:rStyle w:val="documentPARAGRAPHNAMEnamecellnameright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PARAGRAPHNAMEnamecellnameright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</w:tc>
        <w:tc>
          <w:tcPr>
            <w:tcW w:w="2000" w:type="dxa"/>
            <w:tcBorders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ocumentPARAGRAPHNAMEnamecellnamerightcel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line="260" w:lineRule="atLeast"/>
              <w:ind w:left="0" w:right="0"/>
              <w:jc w:val="center"/>
              <w:textAlignment w:val="top"/>
              <w:rPr>
                <w:rStyle w:val="documentPARAGRAPHNAMEnamecellnameright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PARAGRAPHNAMEnamecellnamephotopadding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</w:tc>
      </w:tr>
      <w:tr>
        <w:tblPrEx>
          <w:tblW w:w="0" w:type="auto"/>
          <w:tblCellSpacing w:w="0" w:type="dxa"/>
          <w:tblLayout w:type="fixed"/>
          <w:tblCellMar>
            <w:top w:w="28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2000" w:type="dxa"/>
            <w:vMerge/>
            <w:tcBorders>
              <w:left w:val="single" w:sz="8" w:space="0" w:color="000000"/>
              <w:bottom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ocumentPARAGRAPHNAMEnamecellnamerightcel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line="230" w:lineRule="exact"/>
              <w:ind w:left="0" w:right="0"/>
              <w:jc w:val="center"/>
              <w:textAlignment w:val="top"/>
              <w:rPr>
                <w:rStyle w:val="documentPARAGRAPHNAMEnamecellnamephotopadding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PARAGRAPHNAMEnamecellnamepadding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</w:tc>
        <w:tc>
          <w:tcPr>
            <w:tcW w:w="7378" w:type="dxa"/>
            <w:gridSpan w:val="3"/>
            <w:vMerge w:val="restart"/>
            <w:shd w:val="clear" w:color="auto" w:fill="E0A83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ocumentskn-mlo4txt-caps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before="60" w:after="60" w:line="340" w:lineRule="atLeast"/>
              <w:ind w:left="60" w:right="60"/>
              <w:jc w:val="center"/>
              <w:rPr>
                <w:rStyle w:val="documentPARAGRAPHNAMEnamecellresumetitlecell"/>
                <w:rFonts w:ascii="Abel" w:eastAsia="Abel" w:hAnsi="Abel" w:cs="Abel"/>
                <w:caps/>
                <w:color w:val="FFFFFF"/>
                <w:spacing w:val="26"/>
                <w:sz w:val="28"/>
                <w:szCs w:val="28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rStyle w:val="documentskn-mlo4resume-titlespan"/>
                <w:rFonts w:ascii="Abel" w:eastAsia="Abel" w:hAnsi="Abel" w:cs="Abel"/>
                <w:caps/>
                <w:color w:val="FFFFFF"/>
                <w:spacing w:val="26"/>
              </w:rPr>
              <w:t>Finance Transformation Specialist</w:t>
            </w:r>
          </w:p>
        </w:tc>
        <w:tc>
          <w:tcPr>
            <w:tcW w:w="2000" w:type="dxa"/>
            <w:tcBorders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ocumentPARAGRAPHNAMEnamecellnamemidcel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line="230" w:lineRule="exact"/>
              <w:ind w:left="0" w:right="0"/>
              <w:jc w:val="center"/>
              <w:textAlignment w:val="top"/>
              <w:rPr>
                <w:rStyle w:val="documentPARAGRAPHNAMEnamecellnameright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PARAGRAPHNAMEnamecellnamepadding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</w:tc>
      </w:tr>
      <w:tr>
        <w:tblPrEx>
          <w:tblW w:w="0" w:type="auto"/>
          <w:tblCellSpacing w:w="0" w:type="dxa"/>
          <w:tblLayout w:type="fixed"/>
          <w:tblCellMar>
            <w:top w:w="28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200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ocumentPARAGRAPHNAMEnamecellnamemidcel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line="230" w:lineRule="exact"/>
              <w:ind w:left="0" w:right="0"/>
              <w:jc w:val="center"/>
              <w:textAlignment w:val="top"/>
              <w:rPr>
                <w:rStyle w:val="documentPARAGRAPHNAMEnamecellnamepadding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PARAGRAPHNAMEnamecellnamepadding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</w:tc>
        <w:tc>
          <w:tcPr>
            <w:tcW w:w="7378" w:type="dxa"/>
            <w:gridSpan w:val="3"/>
            <w:vMerge/>
            <w:shd w:val="clear" w:color="auto" w:fill="E0A83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ocumentPARAGRAPHNAMEnamecellnamemidcel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line="260" w:lineRule="atLeast"/>
              <w:ind w:left="0" w:right="0"/>
              <w:jc w:val="center"/>
              <w:textAlignment w:val="top"/>
              <w:rPr>
                <w:rStyle w:val="documentPARAGRAPHNAMEnamecellnamepadding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PARAGRAPHNAMEnamecellresumetitle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  <w:t> </w:t>
            </w:r>
          </w:p>
        </w:tc>
        <w:tc>
          <w:tcPr>
            <w:tcW w:w="200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ocumentPARAGRAPHNAMEnamecellnamemidcel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line="230" w:lineRule="exact"/>
              <w:ind w:left="0" w:right="0"/>
              <w:jc w:val="center"/>
              <w:textAlignment w:val="top"/>
              <w:rPr>
                <w:rStyle w:val="documentPARAGRAPHNAMEnamecellnameright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PARAGRAPHNAMEnamecellnamepadding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</w:tc>
      </w:tr>
    </w:tbl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400" w:lineRule="exact"/>
        <w:ind w:left="0" w:right="0"/>
        <w:jc w:val="center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</w:p>
    <w:p>
      <w:pPr>
        <w:pStyle w:val="documentskn-mlo4address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/>
        <w:ind w:left="0" w:right="0"/>
        <w:jc w:val="center"/>
        <w:rPr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</w:pP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 </w:t>
      </w:r>
      <w:r>
        <w:rPr>
          <w:rStyle w:val="documentskn-mlo4icon-row"/>
          <w:rFonts w:ascii="Open Sans" w:eastAsia="Open Sans" w:hAnsi="Open Sans" w:cs="Open Sans"/>
          <w:sz w:val="20"/>
          <w:szCs w:val="20"/>
        </w:rPr>
        <w:t xml:space="preserve"> </w:t>
      </w:r>
      <w:r>
        <w:rPr>
          <w:rStyle w:val="documentskn-mlo4icon-row"/>
          <w:rFonts w:ascii="Open Sans" w:eastAsia="Open Sans" w:hAnsi="Open Sans" w:cs="Open Sans"/>
          <w:sz w:val="20"/>
          <w:szCs w:val="20"/>
        </w:rPr>
        <w:drawing>
          <wp:anchor simplePos="0" relativeHeight="251658240" behindDoc="0" locked="0" layoutInCell="1" allowOverlap="1">
            <wp:simplePos x="0" y="0"/>
            <wp:positionH relativeFrom="character">
              <wp:posOffset>0</wp:posOffset>
            </wp:positionH>
            <wp:positionV relativeFrom="line">
              <wp:posOffset>120706</wp:posOffset>
            </wp:positionV>
            <wp:extent cx="152832" cy="152923"/>
            <wp:wrapNone/>
            <wp:docPr id="100001" name=""/>
            <wp:cNvGraphicFramePr>
              <a:graphicFrameLocks xmlns:a="http://schemas.openxmlformats.org/drawingml/2006/main" noChangeAspect="0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0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52832" cy="1529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Style w:val="documentskn-mlo4icon-rownth-child1icon-svg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icon-row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+91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98765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43210</w:t>
      </w:r>
      <w:r>
        <w:rPr>
          <w:rStyle w:val="documentskn-mlo4ico-txt"/>
          <w:rFonts w:ascii="Open Sans" w:eastAsia="Open Sans" w:hAnsi="Open Sans" w:cs="Open Sans"/>
          <w:sz w:val="20"/>
          <w:szCs w:val="20"/>
        </w:rPr>
        <w:t xml:space="preserve"> 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icon-row"/>
          <w:rFonts w:ascii="Open Sans" w:eastAsia="Open Sans" w:hAnsi="Open Sans" w:cs="Open Sans"/>
          <w:sz w:val="20"/>
          <w:szCs w:val="20"/>
        </w:rPr>
        <w:t xml:space="preserve"> 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 </w:t>
      </w:r>
      <w:r>
        <w:rPr>
          <w:rStyle w:val="documentskn-mlo4icon-row"/>
          <w:rFonts w:ascii="Open Sans" w:eastAsia="Open Sans" w:hAnsi="Open Sans" w:cs="Open Sans"/>
          <w:sz w:val="20"/>
          <w:szCs w:val="20"/>
        </w:rPr>
        <w:t xml:space="preserve"> </w:t>
      </w:r>
      <w:r>
        <w:rPr>
          <w:rStyle w:val="documentskn-mlo4icon-row"/>
          <w:rFonts w:ascii="Open Sans" w:eastAsia="Open Sans" w:hAnsi="Open Sans" w:cs="Open Sans"/>
          <w:sz w:val="20"/>
          <w:szCs w:val="20"/>
        </w:rPr>
        <w:drawing>
          <wp:anchor simplePos="0" relativeHeight="251659264" behindDoc="0" locked="0" layoutInCell="1" allowOverlap="1">
            <wp:simplePos x="0" y="0"/>
            <wp:positionH relativeFrom="character">
              <wp:posOffset>0</wp:posOffset>
            </wp:positionH>
            <wp:positionV relativeFrom="line">
              <wp:posOffset>139743</wp:posOffset>
            </wp:positionV>
            <wp:extent cx="152832" cy="114849"/>
            <wp:wrapNone/>
            <wp:docPr id="100003" name=""/>
            <wp:cNvGraphicFramePr>
              <a:graphicFrameLocks xmlns:a="http://schemas.openxmlformats.org/drawingml/2006/main" noChangeAspect="0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0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52832" cy="1148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Style w:val="documentskn-mlo4icon-svg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icon-row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ridhima.kapoor@example.com</w:t>
      </w:r>
      <w:r>
        <w:rPr>
          <w:rStyle w:val="documentskn-mlo4ico-txt"/>
          <w:rFonts w:ascii="Open Sans" w:eastAsia="Open Sans" w:hAnsi="Open Sans" w:cs="Open Sans"/>
          <w:sz w:val="20"/>
          <w:szCs w:val="20"/>
        </w:rPr>
        <w:t xml:space="preserve"> 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icon-row"/>
          <w:rFonts w:ascii="Open Sans" w:eastAsia="Open Sans" w:hAnsi="Open Sans" w:cs="Open Sans"/>
          <w:sz w:val="20"/>
          <w:szCs w:val="20"/>
        </w:rPr>
        <w:t xml:space="preserve"> 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 </w:t>
      </w:r>
      <w:r>
        <w:rPr>
          <w:rStyle w:val="documentskn-mlo4icon-row"/>
          <w:rFonts w:ascii="Open Sans" w:eastAsia="Open Sans" w:hAnsi="Open Sans" w:cs="Open Sans"/>
          <w:sz w:val="20"/>
          <w:szCs w:val="20"/>
        </w:rPr>
        <w:t xml:space="preserve"> </w:t>
      </w:r>
      <w:r>
        <w:rPr>
          <w:rStyle w:val="documentskn-mlo4icon-row"/>
          <w:rFonts w:ascii="Open Sans" w:eastAsia="Open Sans" w:hAnsi="Open Sans" w:cs="Open Sans"/>
          <w:sz w:val="20"/>
          <w:szCs w:val="20"/>
        </w:rPr>
        <w:drawing>
          <wp:anchor simplePos="0" relativeHeight="251660288" behindDoc="0" locked="0" layoutInCell="1" allowOverlap="1">
            <wp:simplePos x="0" y="0"/>
            <wp:positionH relativeFrom="character">
              <wp:posOffset>0</wp:posOffset>
            </wp:positionH>
            <wp:positionV relativeFrom="line">
              <wp:posOffset>120706</wp:posOffset>
            </wp:positionV>
            <wp:extent cx="127463" cy="152923"/>
            <wp:wrapNone/>
            <wp:docPr id="100005" name=""/>
            <wp:cNvGraphicFramePr>
              <a:graphicFrameLocks xmlns:a="http://schemas.openxmlformats.org/drawingml/2006/main" noChangeAspect="0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0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27463" cy="1529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Style w:val="documentskn-mlo4icon-svg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icon-row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Mumbai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,</w:t>
      </w:r>
      <w:r>
        <w:rPr>
          <w:rStyle w:val="documentskn-mlo4ico-txt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Maharashtra</w:t>
      </w:r>
      <w:r>
        <w:rPr>
          <w:rStyle w:val="documentskn-mlo4ico-txt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400001</w:t>
      </w:r>
      <w:r>
        <w:rPr>
          <w:rStyle w:val="documentskn-mlo4ico-txt"/>
          <w:rFonts w:ascii="Open Sans" w:eastAsia="Open Sans" w:hAnsi="Open Sans" w:cs="Open Sans"/>
          <w:sz w:val="20"/>
          <w:szCs w:val="20"/>
        </w:rPr>
        <w:t xml:space="preserve"> 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icon-row"/>
          <w:rFonts w:ascii="Open Sans" w:eastAsia="Open Sans" w:hAnsi="Open Sans" w:cs="Open Sans"/>
          <w:sz w:val="20"/>
          <w:szCs w:val="20"/>
        </w:rPr>
        <w:t xml:space="preserve"> 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icon-rownth-last-child1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icon-rownth-last-child1"/>
          <w:rFonts w:ascii="Open Sans" w:eastAsia="Open Sans" w:hAnsi="Open Sans" w:cs="Open Sans"/>
          <w:sz w:val="20"/>
          <w:szCs w:val="20"/>
        </w:rPr>
        <w:drawing>
          <wp:anchor simplePos="0" relativeHeight="251661312" behindDoc="0" locked="0" layoutInCell="1" allowOverlap="1">
            <wp:simplePos x="0" y="0"/>
            <wp:positionH relativeFrom="character">
              <wp:posOffset>0</wp:posOffset>
            </wp:positionH>
            <wp:positionV relativeFrom="line">
              <wp:posOffset>120706</wp:posOffset>
            </wp:positionV>
            <wp:extent cx="152832" cy="152923"/>
            <wp:wrapNone/>
            <wp:docPr id="100007" name=""/>
            <wp:cNvGraphicFramePr>
              <a:graphicFrameLocks xmlns:a="http://schemas.openxmlformats.org/drawingml/2006/main" noChangeAspect="0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0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52832" cy="1529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Style w:val="documentskn-mlo4icon-svg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icon-rownth-last-child1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22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noBreakHyphen/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Jul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noBreakHyphen/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1987</w:t>
      </w:r>
      <w:r>
        <w:rPr>
          <w:rStyle w:val="documentskn-mlo4ico-txt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 xml:space="preserve"> 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icon-rownth-last-child1"/>
          <w:rFonts w:ascii="Open Sans" w:eastAsia="Open Sans" w:hAnsi="Open Sans" w:cs="Open Sans"/>
          <w:sz w:val="20"/>
          <w:szCs w:val="20"/>
        </w:rPr>
        <w:t> </w:t>
      </w: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400" w:lineRule="exact"/>
        <w:ind w:left="0" w:right="0"/>
        <w:jc w:val="center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</w:p>
    <w:p>
      <w:pPr>
        <w:pStyle w:val="documentskn-mlo4head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line="30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documentheadingpadding"/>
          <w:color w:val="FFFFFF"/>
          <w:shd w:val="clear" w:color="auto" w:fill="E0A83A"/>
        </w:rPr>
        <w:t>   </w:t>
      </w:r>
      <w:r>
        <w:rPr>
          <w:rStyle w:val="span"/>
          <w:rFonts w:ascii="Barlow Condensed" w:eastAsia="Barlow Condensed" w:hAnsi="Barlow Condensed" w:cs="Barlow Condensed"/>
          <w:color w:val="FFFFFF"/>
          <w:shd w:val="clear" w:color="auto" w:fill="E0A83A"/>
        </w:rPr>
        <w:t>Professional Summary</w:t>
      </w:r>
      <w:r>
        <w:rPr>
          <w:rStyle w:val="documentheadingpadding"/>
          <w:color w:val="FFFFFF"/>
          <w:shd w:val="clear" w:color="auto" w:fill="E0A83A"/>
        </w:rPr>
        <w:t>   </w:t>
      </w: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drawing>
          <wp:anchor simplePos="0" relativeHeight="251662336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184150</wp:posOffset>
            </wp:positionV>
            <wp:extent cx="7239000" cy="25400"/>
            <wp:wrapNone/>
            <wp:docPr id="100009" name=""/>
            <wp:cNvGraphicFramePr>
              <a:graphicFrameLocks xmlns:a="http://schemas.openxmlformats.org/drawingml/2006/main" noChangeAspect="0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/>
                    <pic:cNvPicPr>
                      <a:picLocks noChangeAspect="0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239000" cy="25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p"/>
        <w:pBdr>
          <w:top w:val="none" w:sz="0" w:space="14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400" w:line="340" w:lineRule="atLeast"/>
        <w:ind w:left="0" w:right="0"/>
        <w:rPr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  <w:t>Finance Transformation Specialist with expertise in ERP implementation, financial process reengineering, and automation strategies. Proven ability to optimize financial workflows and enhance decision-making through data-driven solutions. Ready to drive transformative initiatives and support strategic goals in the finance sector.</w:t>
      </w:r>
    </w:p>
    <w:p>
      <w:pPr>
        <w:pStyle w:val="documentskn-mlo4head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line="30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documentheadingpadding"/>
          <w:color w:val="FFFFFF"/>
          <w:shd w:val="clear" w:color="auto" w:fill="E0A83A"/>
        </w:rPr>
        <w:t>   </w:t>
      </w:r>
      <w:r>
        <w:rPr>
          <w:rStyle w:val="span"/>
          <w:rFonts w:ascii="Barlow Condensed" w:eastAsia="Barlow Condensed" w:hAnsi="Barlow Condensed" w:cs="Barlow Condensed"/>
          <w:color w:val="FFFFFF"/>
          <w:shd w:val="clear" w:color="auto" w:fill="E0A83A"/>
        </w:rPr>
        <w:t>Skills</w:t>
      </w:r>
      <w:r>
        <w:rPr>
          <w:rStyle w:val="documentheadingpadding"/>
          <w:color w:val="FFFFFF"/>
          <w:shd w:val="clear" w:color="auto" w:fill="E0A83A"/>
        </w:rPr>
        <w:t>   </w:t>
      </w: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drawing>
          <wp:anchor simplePos="0" relativeHeight="25166336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184150</wp:posOffset>
            </wp:positionV>
            <wp:extent cx="7239000" cy="25400"/>
            <wp:wrapNone/>
            <wp:docPr id="100011" name=""/>
            <wp:cNvGraphicFramePr>
              <a:graphicFrameLocks xmlns:a="http://schemas.openxmlformats.org/drawingml/2006/main" noChangeAspect="0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"/>
                    <pic:cNvPicPr>
                      <a:picLocks noChangeAspect="0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239000" cy="25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40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</w:p>
    <w:tbl>
      <w:tblPr>
        <w:tblW w:w="11440" w:type="dxa"/>
        <w:jc w:val="left"/>
        <w:tblInd w:w="0" w:type="dxa"/>
        <w:tblCellMar>
          <w:left w:w="108" w:type="dxa"/>
          <w:right w:w="108" w:type="dxa"/>
        </w:tblCellMar>
      </w:tblPr>
      <w:tblGrid>
        <w:gridCol w:w="5718"/>
        <w:gridCol w:w="5722"/>
      </w:tblGrid>
      <w:tr>
        <w:tblPrEx>
          <w:tblW w:w="11440" w:type="dxa"/>
          <w:jc w:val="left"/>
          <w:tblInd w:w="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7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60"/>
              </w:tabs>
              <w:spacing w:before="60" w:after="60" w:line="260" w:lineRule="atLeast"/>
              <w:ind w:left="260" w:right="0" w:hanging="26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Financial Process Reengineering</w:t>
            </w:r>
          </w:p>
        </w:tc>
        <w:tc>
          <w:tcPr>
            <w:tcW w:w="57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60"/>
              </w:tabs>
              <w:spacing w:before="60" w:after="60" w:line="260" w:lineRule="atLeast"/>
              <w:ind w:left="260" w:right="0" w:hanging="26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ERP Implementation (SAP, Oracle)</w:t>
            </w:r>
          </w:p>
        </w:tc>
      </w:tr>
      <w:tr>
        <w:tblPrEx>
          <w:tblW w:w="11440" w:type="dxa"/>
          <w:jc w:val="left"/>
          <w:tblInd w:w="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7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60"/>
              </w:tabs>
              <w:spacing w:before="60" w:after="60" w:line="260" w:lineRule="atLeast"/>
              <w:ind w:left="260" w:right="0" w:hanging="26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Budgeting &amp; Forecasting</w:t>
            </w:r>
          </w:p>
        </w:tc>
        <w:tc>
          <w:tcPr>
            <w:tcW w:w="57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60"/>
              </w:tabs>
              <w:spacing w:before="60" w:after="60" w:line="260" w:lineRule="atLeast"/>
              <w:ind w:left="260" w:right="0" w:hanging="26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Data Analysis &amp; Reporting</w:t>
            </w:r>
          </w:p>
        </w:tc>
      </w:tr>
      <w:tr>
        <w:tblPrEx>
          <w:tblW w:w="11440" w:type="dxa"/>
          <w:jc w:val="left"/>
          <w:tblInd w:w="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7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60"/>
              </w:tabs>
              <w:spacing w:before="60" w:after="60" w:line="260" w:lineRule="atLeast"/>
              <w:ind w:left="260" w:right="0" w:hanging="26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Stakeholder Management</w:t>
            </w:r>
          </w:p>
        </w:tc>
        <w:tc>
          <w:tcPr>
            <w:tcW w:w="57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60"/>
              </w:tabs>
              <w:spacing w:before="60" w:after="60" w:line="260" w:lineRule="atLeast"/>
              <w:ind w:left="260" w:right="0" w:hanging="26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Risk Assessment &amp; Compliance</w:t>
            </w:r>
          </w:p>
        </w:tc>
      </w:tr>
      <w:tr>
        <w:tblPrEx>
          <w:tblW w:w="11440" w:type="dxa"/>
          <w:jc w:val="left"/>
          <w:tblInd w:w="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7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60"/>
              </w:tabs>
              <w:spacing w:before="60" w:after="60" w:line="260" w:lineRule="atLeast"/>
              <w:ind w:left="260" w:right="0" w:hanging="26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Automation &amp; Process Optimization</w:t>
            </w:r>
          </w:p>
        </w:tc>
        <w:tc>
          <w:tcPr>
            <w:tcW w:w="57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60"/>
              </w:tabs>
              <w:spacing w:before="60" w:after="60" w:line="260" w:lineRule="atLeast"/>
              <w:ind w:left="260" w:right="0" w:hanging="26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Change Management</w:t>
            </w:r>
          </w:p>
        </w:tc>
      </w:tr>
      <w:tr>
        <w:tblPrEx>
          <w:tblW w:w="11440" w:type="dxa"/>
          <w:jc w:val="left"/>
          <w:tblInd w:w="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7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60"/>
              </w:tabs>
              <w:spacing w:before="60" w:after="60" w:line="260" w:lineRule="atLeast"/>
              <w:ind w:left="260" w:right="0" w:hanging="26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Cost Reduction Strategies</w:t>
            </w:r>
          </w:p>
        </w:tc>
        <w:tc>
          <w:tcPr>
            <w:tcW w:w="57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1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60"/>
              </w:tabs>
              <w:spacing w:before="60" w:after="400" w:line="260" w:lineRule="atLeast"/>
              <w:ind w:left="260" w:right="0" w:hanging="26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Performance Metrics &amp; KPIs</w:t>
            </w:r>
          </w:p>
        </w:tc>
      </w:tr>
    </w:tbl>
    <w:tbl>
      <w:tblPr>
        <w:tblStyle w:val="documentskn-mlo4mid-section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6780"/>
        <w:gridCol w:w="600"/>
        <w:gridCol w:w="605"/>
        <w:gridCol w:w="3455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678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ocumentskn-mlo4heading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line="300" w:lineRule="exact"/>
              <w:ind w:left="0" w:right="0"/>
              <w:rPr>
                <w:rStyle w:val="documentskn-mlo4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headingpadding"/>
                <w:color w:val="FFFFFF"/>
                <w:shd w:val="clear" w:color="auto" w:fill="E0A83A"/>
              </w:rPr>
              <w:t>   </w:t>
            </w:r>
            <w:r>
              <w:rPr>
                <w:rStyle w:val="span"/>
                <w:rFonts w:ascii="Barlow Condensed" w:eastAsia="Barlow Condensed" w:hAnsi="Barlow Condensed" w:cs="Barlow Condensed"/>
                <w:color w:val="FFFFFF"/>
                <w:shd w:val="clear" w:color="auto" w:fill="E0A83A"/>
              </w:rPr>
              <w:t>Experience</w:t>
            </w:r>
            <w:r>
              <w:rPr>
                <w:rStyle w:val="documentheadingpadding"/>
                <w:color w:val="FFFFFF"/>
                <w:shd w:val="clear" w:color="auto" w:fill="E0A83A"/>
              </w:rPr>
              <w:t>   </w:t>
            </w:r>
            <w:r>
              <w:rPr>
                <w:rStyle w:val="documentskn-mlo4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drawing>
                <wp:anchor simplePos="0" relativeHeight="251664384" behindDoc="1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184150</wp:posOffset>
                  </wp:positionV>
                  <wp:extent cx="4305300" cy="25400"/>
                  <wp:wrapNone/>
                  <wp:docPr id="100013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13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053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tbl>
            <w:tblPr>
              <w:tblStyle w:val="documentskn-mlo4firstparagraphparagraph"/>
              <w:tblW w:w="0" w:type="auto"/>
              <w:tblCellSpacing w:w="0" w:type="dxa"/>
              <w:tblLayout w:type="fixed"/>
              <w:tblCellMar>
                <w:top w:w="28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000"/>
              <w:gridCol w:w="500"/>
              <w:gridCol w:w="428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28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2000" w:type="dxa"/>
                  <w:noWrap w:val="0"/>
                  <w:tcMar>
                    <w:top w:w="44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60" w:lineRule="atLeast"/>
                    <w:ind w:left="0" w:right="0"/>
                    <w:jc w:val="right"/>
                    <w:textAlignment w:val="auto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Jan 2021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 -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Present</w:t>
                  </w:r>
                </w:p>
              </w:tc>
              <w:tc>
                <w:tcPr>
                  <w:tcW w:w="500" w:type="dxa"/>
                  <w:noWrap w:val="0"/>
                  <w:tcMar>
                    <w:top w:w="40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60" w:lineRule="atLeast"/>
                    <w:ind w:left="0" w:right="0"/>
                    <w:jc w:val="right"/>
                    <w:textAlignment w:val="auto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</w:p>
              </w:tc>
              <w:tc>
                <w:tcPr>
                  <w:tcW w:w="4280" w:type="dxa"/>
                  <w:tcMar>
                    <w:top w:w="40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documentskn-mlo4disp-block"/>
                    <w:pBdr>
                      <w:bottom w:val="none" w:sz="0" w:space="2" w:color="auto"/>
                    </w:pBdr>
                    <w:spacing w:before="0" w:line="260" w:lineRule="atLeast"/>
                    <w:ind w:left="0" w:right="0"/>
                    <w:rPr>
                      <w:rStyle w:val="documentfirstparagraphparagraphparagraphTablediv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documentskn-mlo4txt-bold"/>
                      <w:rFonts w:ascii="Open Sans" w:eastAsia="Open Sans" w:hAnsi="Open Sans" w:cs="Open Sans"/>
                      <w:b/>
                      <w:bCs/>
                      <w:caps/>
                      <w:color w:val="E0A83A"/>
                      <w:sz w:val="20"/>
                      <w:szCs w:val="20"/>
                    </w:rPr>
                    <w:t>Finance Transformation Specialist</w:t>
                  </w:r>
                  <w:r>
                    <w:rPr>
                      <w:rStyle w:val="documentfirstparagraphparagraphparagraphTablediv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 xml:space="preserve"> </w:t>
                  </w:r>
                </w:p>
                <w:p>
                  <w:pPr>
                    <w:pStyle w:val="div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60" w:lineRule="atLeast"/>
                    <w:ind w:left="0" w:right="0"/>
                    <w:rPr>
                      <w:rStyle w:val="documentfirstparagraphparagraphparagraphTablediv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EY India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Mumbai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Maharashtra</w:t>
                  </w:r>
                </w:p>
                <w:p>
                  <w:pPr>
                    <w:pStyle w:val="documentskn-mlo4sec-exprulli"/>
                    <w:numPr>
                      <w:ilvl w:val="0"/>
                      <w:numId w:val="11"/>
                    </w:numPr>
                    <w:pBdr>
                      <w:left w:val="none" w:sz="0" w:space="3" w:color="auto"/>
                      <w:bottom w:val="none" w:sz="0" w:space="3" w:color="auto"/>
                    </w:pBdr>
                    <w:spacing w:before="240" w:after="100" w:line="260" w:lineRule="atLeast"/>
                    <w:ind w:left="260" w:right="0" w:hanging="252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Led finance transformation initiatives to enhance reporting accuracy and reduce manual reconciliation efforts significantly.</w:t>
                  </w:r>
                </w:p>
                <w:p>
                  <w:pPr>
                    <w:pStyle w:val="documentskn-mlo4sec-exprulli"/>
                    <w:numPr>
                      <w:ilvl w:val="0"/>
                      <w:numId w:val="11"/>
                    </w:numPr>
                    <w:pBdr>
                      <w:left w:val="none" w:sz="0" w:space="3" w:color="auto"/>
                      <w:bottom w:val="none" w:sz="0" w:space="3" w:color="auto"/>
                    </w:pBdr>
                    <w:spacing w:after="100" w:line="260" w:lineRule="atLeast"/>
                    <w:ind w:left="260" w:right="0" w:hanging="252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Implemented ERP solutions across multiple departments, ensuring seamless integration with existing financial processes and systems.</w:t>
                  </w:r>
                </w:p>
                <w:p>
                  <w:pPr>
                    <w:pStyle w:val="documentskn-mlo4sec-exprulli"/>
                    <w:numPr>
                      <w:ilvl w:val="0"/>
                      <w:numId w:val="11"/>
                    </w:numPr>
                    <w:pBdr>
                      <w:left w:val="none" w:sz="0" w:space="3" w:color="auto"/>
                      <w:bottom w:val="none" w:sz="0" w:space="3" w:color="auto"/>
                    </w:pBdr>
                    <w:spacing w:after="100" w:line="260" w:lineRule="atLeast"/>
                    <w:ind w:left="260" w:right="0" w:hanging="252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Developed automated dashboards to monitor KPIs and support management decision-making efficiently.</w:t>
                  </w:r>
                </w:p>
                <w:p>
                  <w:pPr>
                    <w:pStyle w:val="documentskn-mlo4sec-exprulli"/>
                    <w:numPr>
                      <w:ilvl w:val="0"/>
                      <w:numId w:val="11"/>
                    </w:numPr>
                    <w:pBdr>
                      <w:left w:val="none" w:sz="0" w:space="3" w:color="auto"/>
                      <w:bottom w:val="none" w:sz="0" w:space="3" w:color="auto"/>
                    </w:pBdr>
                    <w:spacing w:after="100" w:line="260" w:lineRule="atLeast"/>
                    <w:ind w:left="260" w:right="0" w:hanging="252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Conducted financial process audits to identify gaps and proposed actionable improvement strategies.</w:t>
                  </w:r>
                </w:p>
                <w:p>
                  <w:pPr>
                    <w:pStyle w:val="documentskn-mlo4sec-exprulli"/>
                    <w:numPr>
                      <w:ilvl w:val="0"/>
                      <w:numId w:val="11"/>
                    </w:numPr>
                    <w:pBdr>
                      <w:left w:val="none" w:sz="0" w:space="3" w:color="auto"/>
                      <w:bottom w:val="none" w:sz="0" w:space="3" w:color="auto"/>
                    </w:pBdr>
                    <w:spacing w:after="100" w:line="260" w:lineRule="atLeast"/>
                    <w:ind w:left="260" w:right="0" w:hanging="252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Coordinated with IT teams to configure ERP modules and troubleshoot system issues during deployment.</w:t>
                  </w:r>
                </w:p>
                <w:p>
                  <w:pPr>
                    <w:pStyle w:val="documentskn-mlo4sec-exprulli"/>
                    <w:numPr>
                      <w:ilvl w:val="0"/>
                      <w:numId w:val="11"/>
                    </w:numPr>
                    <w:pBdr>
                      <w:left w:val="none" w:sz="0" w:space="3" w:color="auto"/>
                      <w:bottom w:val="none" w:sz="0" w:space="3" w:color="auto"/>
                    </w:pBdr>
                    <w:spacing w:after="100" w:line="260" w:lineRule="atLeast"/>
                    <w:ind w:left="260" w:right="0" w:hanging="252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Delivered training sessions for finance teams to improve adoption of automated financial workflows.</w:t>
                  </w:r>
                </w:p>
                <w:p>
                  <w:pPr>
                    <w:pStyle w:val="documentskn-mlo4sec-exprullinth-last-child1"/>
                    <w:numPr>
                      <w:ilvl w:val="0"/>
                      <w:numId w:val="11"/>
                    </w:numPr>
                    <w:pBdr>
                      <w:left w:val="none" w:sz="0" w:space="3" w:color="auto"/>
                    </w:pBdr>
                    <w:spacing w:after="0" w:line="260" w:lineRule="atLeast"/>
                    <w:ind w:left="260" w:right="0" w:hanging="252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Monitored project timelines and risks, ensuring on-time delivery of transformation objectives for multiple clients.</w:t>
                  </w: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documentskn-mlo4sec-exprparagraph"/>
              <w:tblW w:w="0" w:type="auto"/>
              <w:tblCellSpacing w:w="0" w:type="dxa"/>
              <w:tblLayout w:type="fixed"/>
              <w:tblCellMar>
                <w:top w:w="26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000"/>
              <w:gridCol w:w="500"/>
              <w:gridCol w:w="428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26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2000" w:type="dxa"/>
                  <w:noWrap w:val="0"/>
                  <w:tcMar>
                    <w:top w:w="44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60" w:lineRule="atLeast"/>
                    <w:ind w:left="0" w:right="0"/>
                    <w:jc w:val="right"/>
                    <w:textAlignment w:val="auto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Jun 2017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 -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Dec 2020</w:t>
                  </w:r>
                </w:p>
              </w:tc>
              <w:tc>
                <w:tcPr>
                  <w:tcW w:w="500" w:type="dxa"/>
                  <w:noWrap w:val="0"/>
                  <w:tcMar>
                    <w:top w:w="44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60" w:lineRule="atLeast"/>
                    <w:ind w:left="0" w:right="0"/>
                    <w:jc w:val="right"/>
                    <w:textAlignment w:val="auto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</w:p>
              </w:tc>
              <w:tc>
                <w:tcPr>
                  <w:tcW w:w="4280" w:type="dxa"/>
                  <w:tcMar>
                    <w:top w:w="44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documentskn-mlo4disp-block"/>
                    <w:pBdr>
                      <w:bottom w:val="none" w:sz="0" w:space="2" w:color="auto"/>
                    </w:pBdr>
                    <w:spacing w:before="0" w:line="260" w:lineRule="atLeast"/>
                    <w:ind w:left="0" w:right="0"/>
                    <w:rPr>
                      <w:rStyle w:val="documentsec-exprparagraphTableany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documentskn-mlo4txt-bold"/>
                      <w:rFonts w:ascii="Open Sans" w:eastAsia="Open Sans" w:hAnsi="Open Sans" w:cs="Open Sans"/>
                      <w:b/>
                      <w:bCs/>
                      <w:caps/>
                      <w:color w:val="E0A83A"/>
                      <w:sz w:val="20"/>
                      <w:szCs w:val="20"/>
                    </w:rPr>
                    <w:t>Senior Finance Analyst</w:t>
                  </w:r>
                  <w:r>
                    <w:rPr>
                      <w:rStyle w:val="documentsec-exprparagraphTableany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 xml:space="preserve"> </w:t>
                  </w:r>
                </w:p>
                <w:p>
                  <w:pPr>
                    <w:pStyle w:val="div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60" w:lineRule="atLeast"/>
                    <w:ind w:left="0" w:right="0"/>
                    <w:rPr>
                      <w:rStyle w:val="documentsec-exprparagraphTableany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KPMG India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Bengaluru</w:t>
                  </w:r>
                  <w:r>
                    <w:rPr>
                      <w:rStyle w:val="documentsec-exprparagraphTableany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 xml:space="preserve"> </w:t>
                  </w:r>
                </w:p>
                <w:p>
                  <w:pPr>
                    <w:pStyle w:val="documentskn-mlo4sec-exprulli"/>
                    <w:numPr>
                      <w:ilvl w:val="0"/>
                      <w:numId w:val="12"/>
                    </w:numPr>
                    <w:pBdr>
                      <w:left w:val="none" w:sz="0" w:space="3" w:color="auto"/>
                      <w:bottom w:val="none" w:sz="0" w:space="3" w:color="auto"/>
                    </w:pBdr>
                    <w:spacing w:before="240" w:after="100" w:line="260" w:lineRule="atLeast"/>
                    <w:ind w:left="260" w:right="0" w:hanging="252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Analyzed existing financial processes to recommend automation opportunities and reduce operational inefficiencies.</w:t>
                  </w:r>
                </w:p>
                <w:p>
                  <w:pPr>
                    <w:pStyle w:val="documentskn-mlo4sec-exprulli"/>
                    <w:numPr>
                      <w:ilvl w:val="0"/>
                      <w:numId w:val="12"/>
                    </w:numPr>
                    <w:pBdr>
                      <w:left w:val="none" w:sz="0" w:space="3" w:color="auto"/>
                      <w:bottom w:val="none" w:sz="0" w:space="3" w:color="auto"/>
                    </w:pBdr>
                    <w:spacing w:after="100" w:line="260" w:lineRule="atLeast"/>
                    <w:ind w:left="260" w:right="0" w:hanging="252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Assisted in SAP and Oracle ERP implementations, ensuring accurate mapping of finance workflows.</w:t>
                  </w:r>
                </w:p>
                <w:p>
                  <w:pPr>
                    <w:pStyle w:val="documentskn-mlo4sec-exprulli"/>
                    <w:numPr>
                      <w:ilvl w:val="0"/>
                      <w:numId w:val="12"/>
                    </w:numPr>
                    <w:pBdr>
                      <w:left w:val="none" w:sz="0" w:space="3" w:color="auto"/>
                      <w:bottom w:val="none" w:sz="0" w:space="3" w:color="auto"/>
                    </w:pBdr>
                    <w:spacing w:after="100" w:line="260" w:lineRule="atLeast"/>
                    <w:ind w:left="260" w:right="0" w:hanging="252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Prepared monthly, quarterly, and annual financial reports for management review and strategic planning.</w:t>
                  </w:r>
                </w:p>
                <w:p>
                  <w:pPr>
                    <w:pStyle w:val="documentskn-mlo4sec-exprulli"/>
                    <w:numPr>
                      <w:ilvl w:val="0"/>
                      <w:numId w:val="12"/>
                    </w:numPr>
                    <w:pBdr>
                      <w:left w:val="none" w:sz="0" w:space="3" w:color="auto"/>
                      <w:bottom w:val="none" w:sz="0" w:space="3" w:color="auto"/>
                    </w:pBdr>
                    <w:spacing w:after="100" w:line="260" w:lineRule="atLeast"/>
                    <w:ind w:left="260" w:right="0" w:hanging="252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Collaborated with business stakeholders to standardize budgeting and forecasting processes across units.</w:t>
                  </w:r>
                </w:p>
                <w:p>
                  <w:pPr>
                    <w:pStyle w:val="documentskn-mlo4sec-exprulli"/>
                    <w:numPr>
                      <w:ilvl w:val="0"/>
                      <w:numId w:val="12"/>
                    </w:numPr>
                    <w:pBdr>
                      <w:left w:val="none" w:sz="0" w:space="3" w:color="auto"/>
                      <w:bottom w:val="none" w:sz="0" w:space="3" w:color="auto"/>
                    </w:pBdr>
                    <w:spacing w:after="100" w:line="260" w:lineRule="atLeast"/>
                    <w:ind w:left="260" w:right="0" w:hanging="252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Conducted variance analysis and presented insights for cost reduction and performance improvement initiatives.</w:t>
                  </w:r>
                </w:p>
                <w:p>
                  <w:pPr>
                    <w:pStyle w:val="documentskn-mlo4sec-exprulli"/>
                    <w:numPr>
                      <w:ilvl w:val="0"/>
                      <w:numId w:val="12"/>
                    </w:numPr>
                    <w:pBdr>
                      <w:left w:val="none" w:sz="0" w:space="3" w:color="auto"/>
                      <w:bottom w:val="none" w:sz="0" w:space="3" w:color="auto"/>
                    </w:pBdr>
                    <w:spacing w:after="100" w:line="260" w:lineRule="atLeast"/>
                    <w:ind w:left="260" w:right="0" w:hanging="252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Supported compliance audits and coordinated documentation for internal and external reviews.</w:t>
                  </w:r>
                </w:p>
                <w:p>
                  <w:pPr>
                    <w:pStyle w:val="documentskn-mlo4sec-exprullinth-last-child1"/>
                    <w:numPr>
                      <w:ilvl w:val="0"/>
                      <w:numId w:val="12"/>
                    </w:numPr>
                    <w:pBdr>
                      <w:left w:val="none" w:sz="0" w:space="3" w:color="auto"/>
                    </w:pBdr>
                    <w:spacing w:after="0" w:line="260" w:lineRule="atLeast"/>
                    <w:ind w:left="260" w:right="0" w:hanging="252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Monitored KPIs and provided actionable reports to track progress of finance transformation projects.</w:t>
                  </w: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documentskn-mlo4sec-exprparagraph"/>
              <w:tblW w:w="0" w:type="auto"/>
              <w:tblCellSpacing w:w="0" w:type="dxa"/>
              <w:tblLayout w:type="fixed"/>
              <w:tblCellMar>
                <w:top w:w="26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000"/>
              <w:gridCol w:w="500"/>
              <w:gridCol w:w="428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26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2000" w:type="dxa"/>
                  <w:noWrap w:val="0"/>
                  <w:tcMar>
                    <w:top w:w="44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60" w:lineRule="atLeast"/>
                    <w:ind w:left="0" w:right="0"/>
                    <w:jc w:val="right"/>
                    <w:textAlignment w:val="auto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Jan 2014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 -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May 2017</w:t>
                  </w:r>
                </w:p>
              </w:tc>
              <w:tc>
                <w:tcPr>
                  <w:tcW w:w="500" w:type="dxa"/>
                  <w:noWrap w:val="0"/>
                  <w:tcMar>
                    <w:top w:w="44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60" w:lineRule="atLeast"/>
                    <w:ind w:left="0" w:right="0"/>
                    <w:jc w:val="right"/>
                    <w:textAlignment w:val="auto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</w:p>
              </w:tc>
              <w:tc>
                <w:tcPr>
                  <w:tcW w:w="4280" w:type="dxa"/>
                  <w:tcMar>
                    <w:top w:w="44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documentskn-mlo4disp-block"/>
                    <w:pBdr>
                      <w:bottom w:val="none" w:sz="0" w:space="2" w:color="auto"/>
                    </w:pBdr>
                    <w:spacing w:before="0" w:line="260" w:lineRule="atLeast"/>
                    <w:ind w:left="0" w:right="0"/>
                    <w:rPr>
                      <w:rStyle w:val="documentsec-exprparagraphTableany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documentskn-mlo4txt-bold"/>
                      <w:rFonts w:ascii="Open Sans" w:eastAsia="Open Sans" w:hAnsi="Open Sans" w:cs="Open Sans"/>
                      <w:b/>
                      <w:bCs/>
                      <w:caps/>
                      <w:color w:val="E0A83A"/>
                      <w:sz w:val="20"/>
                      <w:szCs w:val="20"/>
                    </w:rPr>
                    <w:t>Finance Analyst</w:t>
                  </w:r>
                  <w:r>
                    <w:rPr>
                      <w:rStyle w:val="documentsec-exprparagraphTableany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 xml:space="preserve"> </w:t>
                  </w:r>
                </w:p>
                <w:p>
                  <w:pPr>
                    <w:pStyle w:val="div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60" w:lineRule="atLeast"/>
                    <w:ind w:left="0" w:right="0"/>
                    <w:rPr>
                      <w:rStyle w:val="documentsec-exprparagraphTableany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PwC India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Hyderabad</w:t>
                  </w:r>
                  <w:r>
                    <w:rPr>
                      <w:rStyle w:val="documentsec-exprparagraphTableany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 xml:space="preserve"> </w:t>
                  </w:r>
                </w:p>
                <w:p>
                  <w:pPr>
                    <w:pStyle w:val="documentskn-mlo4sec-exprulli"/>
                    <w:numPr>
                      <w:ilvl w:val="0"/>
                      <w:numId w:val="13"/>
                    </w:numPr>
                    <w:pBdr>
                      <w:left w:val="none" w:sz="0" w:space="3" w:color="auto"/>
                      <w:bottom w:val="none" w:sz="0" w:space="3" w:color="auto"/>
                    </w:pBdr>
                    <w:spacing w:before="240" w:after="100" w:line="260" w:lineRule="atLeast"/>
                    <w:ind w:left="260" w:right="0" w:hanging="252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Participated in finance process reengineering projects to improve efficiency and reporting timelines.</w:t>
                  </w:r>
                </w:p>
                <w:p>
                  <w:pPr>
                    <w:pStyle w:val="documentskn-mlo4sec-exprulli"/>
                    <w:numPr>
                      <w:ilvl w:val="0"/>
                      <w:numId w:val="13"/>
                    </w:numPr>
                    <w:pBdr>
                      <w:left w:val="none" w:sz="0" w:space="3" w:color="auto"/>
                      <w:bottom w:val="none" w:sz="0" w:space="3" w:color="auto"/>
                    </w:pBdr>
                    <w:spacing w:after="100" w:line="260" w:lineRule="atLeast"/>
                    <w:ind w:left="260" w:right="0" w:hanging="252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Supported automation of accounts payable and receivable processes to minimize errors and delays.</w:t>
                  </w:r>
                </w:p>
                <w:p>
                  <w:pPr>
                    <w:pStyle w:val="documentskn-mlo4sec-exprulli"/>
                    <w:numPr>
                      <w:ilvl w:val="0"/>
                      <w:numId w:val="13"/>
                    </w:numPr>
                    <w:pBdr>
                      <w:left w:val="none" w:sz="0" w:space="3" w:color="auto"/>
                      <w:bottom w:val="none" w:sz="0" w:space="3" w:color="auto"/>
                    </w:pBdr>
                    <w:spacing w:after="100" w:line="260" w:lineRule="atLeast"/>
                    <w:ind w:left="260" w:right="0" w:hanging="252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Assisted in monthly closing and reconciliations, ensuring accuracy and compliance with accounting standards.</w:t>
                  </w:r>
                </w:p>
                <w:p>
                  <w:pPr>
                    <w:pStyle w:val="documentskn-mlo4sec-exprulli"/>
                    <w:numPr>
                      <w:ilvl w:val="0"/>
                      <w:numId w:val="13"/>
                    </w:numPr>
                    <w:pBdr>
                      <w:left w:val="none" w:sz="0" w:space="3" w:color="auto"/>
                      <w:bottom w:val="none" w:sz="0" w:space="3" w:color="auto"/>
                    </w:pBdr>
                    <w:spacing w:after="100" w:line="260" w:lineRule="atLeast"/>
                    <w:ind w:left="260" w:right="0" w:hanging="252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Prepared financial analysis reports to assist management in strategic decision-making.</w:t>
                  </w:r>
                </w:p>
                <w:p>
                  <w:pPr>
                    <w:pStyle w:val="documentskn-mlo4sec-exprulli"/>
                    <w:numPr>
                      <w:ilvl w:val="0"/>
                      <w:numId w:val="13"/>
                    </w:numPr>
                    <w:pBdr>
                      <w:left w:val="none" w:sz="0" w:space="3" w:color="auto"/>
                      <w:bottom w:val="none" w:sz="0" w:space="3" w:color="auto"/>
                    </w:pBdr>
                    <w:spacing w:after="100" w:line="260" w:lineRule="atLeast"/>
                    <w:ind w:left="260" w:right="0" w:hanging="252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Collaborated with IT teams to validate ERP outputs and ensure proper data migration.</w:t>
                  </w:r>
                </w:p>
                <w:p>
                  <w:pPr>
                    <w:pStyle w:val="documentskn-mlo4sec-exprulli"/>
                    <w:numPr>
                      <w:ilvl w:val="0"/>
                      <w:numId w:val="13"/>
                    </w:numPr>
                    <w:pBdr>
                      <w:left w:val="none" w:sz="0" w:space="3" w:color="auto"/>
                      <w:bottom w:val="none" w:sz="0" w:space="3" w:color="auto"/>
                    </w:pBdr>
                    <w:spacing w:after="100" w:line="260" w:lineRule="atLeast"/>
                    <w:ind w:left="260" w:right="0" w:hanging="252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Standardized finance processes to align with industry best practices and client requirements.</w:t>
                  </w:r>
                </w:p>
                <w:p>
                  <w:pPr>
                    <w:pStyle w:val="documentskn-mlo4sec-exprullinth-last-child1"/>
                    <w:numPr>
                      <w:ilvl w:val="0"/>
                      <w:numId w:val="13"/>
                    </w:numPr>
                    <w:pBdr>
                      <w:left w:val="none" w:sz="0" w:space="3" w:color="auto"/>
                    </w:pBdr>
                    <w:spacing w:after="0" w:line="260" w:lineRule="atLeast"/>
                    <w:ind w:left="260" w:right="0" w:hanging="252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Supported change management initiatives during ERP rollout and process transition across teams.</w:t>
                  </w:r>
                </w:p>
              </w:tc>
            </w:tr>
          </w:tbl>
          <w:p>
            <w:pPr>
              <w:rPr>
                <w:rStyle w:val="documentskn-mlo4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60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ocumentskn-mlo4mid-sectionleftmidcel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60" w:lineRule="atLeast"/>
              <w:ind w:left="0" w:right="0"/>
              <w:textAlignment w:val="auto"/>
              <w:rPr>
                <w:rStyle w:val="documentskn-mlo4mid-sectionleftmid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605" w:type="dxa"/>
            <w:tcBorders>
              <w:lef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ocumentskn-mlo4mid-sectionleftmidcel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60" w:lineRule="atLeast"/>
              <w:ind w:left="0" w:right="0"/>
              <w:textAlignment w:val="auto"/>
              <w:rPr>
                <w:rStyle w:val="documentskn-mlo4mid-sectionleftmid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3455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ocumentskn-mlo4heading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line="300" w:lineRule="exact"/>
              <w:ind w:left="0" w:right="0"/>
              <w:rPr>
                <w:rStyle w:val="documentskn-mlo4mid-sectiondiv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headingpadding"/>
                <w:color w:val="FFFFFF"/>
                <w:shd w:val="clear" w:color="auto" w:fill="E0A83A"/>
              </w:rPr>
              <w:t>   </w:t>
            </w:r>
            <w:r>
              <w:rPr>
                <w:rStyle w:val="span"/>
                <w:rFonts w:ascii="Barlow Condensed" w:eastAsia="Barlow Condensed" w:hAnsi="Barlow Condensed" w:cs="Barlow Condensed"/>
                <w:color w:val="FFFFFF"/>
                <w:shd w:val="clear" w:color="auto" w:fill="E0A83A"/>
              </w:rPr>
              <w:t>Education</w:t>
            </w:r>
            <w:r>
              <w:rPr>
                <w:rStyle w:val="documentheadingpadding"/>
                <w:color w:val="FFFFFF"/>
                <w:shd w:val="clear" w:color="auto" w:fill="E0A83A"/>
              </w:rPr>
              <w:t>   </w:t>
            </w:r>
            <w:r>
              <w:rPr>
                <w:rStyle w:val="documentskn-mlo4mid-sectiondiv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drawing>
                <wp:anchor simplePos="0" relativeHeight="251665408" behindDoc="1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184150</wp:posOffset>
                  </wp:positionV>
                  <wp:extent cx="2193925" cy="25400"/>
                  <wp:wrapNone/>
                  <wp:docPr id="100015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15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3925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documentskn-mlo4mid-sectiondiv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skn-mlo4mid-sectiondiv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documentskn-mlo4disp-block"/>
              <w:spacing w:before="0" w:after="60" w:line="260" w:lineRule="atLeast"/>
              <w:ind w:left="0" w:right="0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skn-mlo4txt-bold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>Jan 2003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</w:p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0" w:right="0"/>
              <w:textAlignment w:val="auto"/>
              <w:rPr>
                <w:rStyle w:val="span"/>
                <w:rFonts w:ascii="Open Sans" w:eastAsia="Open Sans" w:hAnsi="Open Sans" w:cs="Open Sans"/>
                <w:b/>
                <w:bCs/>
                <w:caps/>
                <w:color w:val="E0A83A"/>
                <w:spacing w:val="20"/>
                <w:sz w:val="20"/>
                <w:szCs w:val="20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aps/>
                <w:color w:val="E0A83A"/>
                <w:spacing w:val="20"/>
                <w:sz w:val="20"/>
                <w:szCs w:val="20"/>
              </w:rPr>
              <w:t>10th Standard</w:t>
            </w:r>
            <w:r>
              <w:rPr>
                <w:rStyle w:val="documentskn-mlo4txt-bold"/>
                <w:rFonts w:ascii="Open Sans" w:eastAsia="Open Sans" w:hAnsi="Open Sans" w:cs="Open Sans"/>
                <w:b/>
                <w:bCs/>
                <w:caps/>
                <w:color w:val="E0A83A"/>
                <w:sz w:val="20"/>
                <w:szCs w:val="20"/>
              </w:rPr>
              <w:t xml:space="preserve"> </w:t>
            </w:r>
          </w:p>
          <w:p>
            <w:pPr>
              <w:pStyle w:val="documentskn-mlo4disp-block"/>
              <w:spacing w:before="0" w:after="60" w:line="260" w:lineRule="atLeast"/>
              <w:ind w:left="0" w:right="0"/>
              <w:rPr>
                <w:rStyle w:val="documentskn-mlo4mid-sectiondiv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St. Xavier's High School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40" w:lineRule="exact"/>
              <w:ind w:left="0" w:right="0"/>
              <w:rPr>
                <w:rStyle w:val="documentskn-mlo4mid-sectiondiv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skn-mlo4mid-sectiondiv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documentskn-mlo4disp-block"/>
              <w:spacing w:before="0" w:after="60" w:line="260" w:lineRule="atLeast"/>
              <w:ind w:left="0" w:right="0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skn-mlo4txt-bold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>Jan 2005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</w:p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0" w:right="0"/>
              <w:textAlignment w:val="auto"/>
              <w:rPr>
                <w:rStyle w:val="span"/>
                <w:rFonts w:ascii="Open Sans" w:eastAsia="Open Sans" w:hAnsi="Open Sans" w:cs="Open Sans"/>
                <w:b/>
                <w:bCs/>
                <w:caps/>
                <w:color w:val="E0A83A"/>
                <w:spacing w:val="20"/>
                <w:sz w:val="20"/>
                <w:szCs w:val="20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aps/>
                <w:color w:val="E0A83A"/>
                <w:spacing w:val="20"/>
                <w:sz w:val="20"/>
                <w:szCs w:val="20"/>
              </w:rPr>
              <w:t>12th Standard</w:t>
            </w:r>
            <w:r>
              <w:rPr>
                <w:rStyle w:val="documentskn-mlo4txt-bold"/>
                <w:rFonts w:ascii="Open Sans" w:eastAsia="Open Sans" w:hAnsi="Open Sans" w:cs="Open Sans"/>
                <w:b/>
                <w:bCs/>
                <w:caps/>
                <w:color w:val="E0A83A"/>
                <w:sz w:val="20"/>
                <w:szCs w:val="20"/>
              </w:rPr>
              <w:t xml:space="preserve"> </w:t>
            </w:r>
          </w:p>
          <w:p>
            <w:pPr>
              <w:pStyle w:val="documentskn-mlo4disp-block"/>
              <w:spacing w:before="0" w:after="60" w:line="260" w:lineRule="atLeast"/>
              <w:ind w:left="0" w:right="0"/>
              <w:rPr>
                <w:rStyle w:val="documentskn-mlo4mid-sectiondiv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St. Xavier's High School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40" w:lineRule="exact"/>
              <w:ind w:left="0" w:right="0"/>
              <w:rPr>
                <w:rStyle w:val="documentskn-mlo4mid-sectiondiv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skn-mlo4mid-sectiondiv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documentskn-mlo4disp-block"/>
              <w:spacing w:before="0" w:after="60" w:line="260" w:lineRule="atLeast"/>
              <w:ind w:left="0" w:right="0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skn-mlo4txt-bold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>Jan 2008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</w:p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0" w:right="0"/>
              <w:textAlignment w:val="auto"/>
              <w:rPr>
                <w:rStyle w:val="span"/>
                <w:rFonts w:ascii="Open Sans" w:eastAsia="Open Sans" w:hAnsi="Open Sans" w:cs="Open Sans"/>
                <w:b/>
                <w:bCs/>
                <w:caps/>
                <w:color w:val="E0A83A"/>
                <w:spacing w:val="20"/>
                <w:sz w:val="20"/>
                <w:szCs w:val="20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aps/>
                <w:color w:val="E0A83A"/>
                <w:spacing w:val="20"/>
                <w:sz w:val="20"/>
                <w:szCs w:val="20"/>
              </w:rPr>
              <w:t>Bachelor of Commerce</w:t>
            </w:r>
            <w:r>
              <w:rPr>
                <w:rStyle w:val="documentskn-mlo4txt-bold"/>
                <w:rFonts w:ascii="Open Sans" w:eastAsia="Open Sans" w:hAnsi="Open Sans" w:cs="Open Sans"/>
                <w:b/>
                <w:bCs/>
                <w:caps/>
                <w:color w:val="E0A83A"/>
                <w:sz w:val="20"/>
                <w:szCs w:val="20"/>
              </w:rPr>
              <w:t xml:space="preserve"> </w:t>
            </w:r>
          </w:p>
          <w:p>
            <w:pPr>
              <w:pStyle w:val="documentskn-mlo4disp-block"/>
              <w:spacing w:before="0" w:after="60" w:line="260" w:lineRule="atLeast"/>
              <w:ind w:left="0" w:right="0"/>
              <w:rPr>
                <w:rStyle w:val="documentskn-mlo4mid-sectiondiv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Narsee Monjee College of Commerce and Economics</w:t>
            </w:r>
          </w:p>
        </w:tc>
      </w:tr>
    </w:tbl>
    <w:p>
      <w:pPr>
        <w:pStyle w:val="div"/>
        <w:spacing w:before="0" w:line="40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</w:p>
    <w:p>
      <w:pPr>
        <w:pStyle w:val="documentskn-mlo4head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line="30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documentheadingpadding"/>
          <w:color w:val="FFFFFF"/>
          <w:shd w:val="clear" w:color="auto" w:fill="E0A83A"/>
        </w:rPr>
        <w:t>   </w:t>
      </w:r>
      <w:r>
        <w:rPr>
          <w:rStyle w:val="span"/>
          <w:rFonts w:ascii="Barlow Condensed" w:eastAsia="Barlow Condensed" w:hAnsi="Barlow Condensed" w:cs="Barlow Condensed"/>
          <w:color w:val="FFFFFF"/>
          <w:shd w:val="clear" w:color="auto" w:fill="E0A83A"/>
        </w:rPr>
        <w:t>Certifications</w:t>
      </w:r>
      <w:r>
        <w:rPr>
          <w:rStyle w:val="documentheadingpadding"/>
          <w:color w:val="FFFFFF"/>
          <w:shd w:val="clear" w:color="auto" w:fill="E0A83A"/>
        </w:rPr>
        <w:t>   </w:t>
      </w: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drawing>
          <wp:anchor simplePos="0" relativeHeight="251666432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184150</wp:posOffset>
            </wp:positionV>
            <wp:extent cx="7239000" cy="25400"/>
            <wp:wrapNone/>
            <wp:docPr id="100017" name=""/>
            <wp:cNvGraphicFramePr>
              <a:graphicFrameLocks xmlns:a="http://schemas.openxmlformats.org/drawingml/2006/main" noChangeAspect="0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"/>
                    <pic:cNvPicPr>
                      <a:picLocks noChangeAspect="0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239000" cy="25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40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</w:p>
    <w:tbl>
      <w:tblPr>
        <w:tblW w:w="11440" w:type="dxa"/>
        <w:jc w:val="left"/>
        <w:tblInd w:w="0" w:type="dxa"/>
        <w:tblCellMar>
          <w:left w:w="108" w:type="dxa"/>
          <w:right w:w="108" w:type="dxa"/>
        </w:tblCellMar>
      </w:tblPr>
      <w:tblGrid>
        <w:gridCol w:w="5724"/>
        <w:gridCol w:w="5716"/>
      </w:tblGrid>
      <w:tr>
        <w:tblPrEx>
          <w:tblW w:w="11440" w:type="dxa"/>
          <w:jc w:val="left"/>
          <w:tblInd w:w="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7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1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60"/>
              </w:tabs>
              <w:spacing w:before="60" w:after="60" w:line="260" w:lineRule="atLeast"/>
              <w:ind w:left="260" w:right="0" w:hanging="26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Advanced Excel for Finance Professionals, NIIT</w:t>
            </w:r>
          </w:p>
        </w:tc>
        <w:tc>
          <w:tcPr>
            <w:tcW w:w="57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1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60"/>
              </w:tabs>
              <w:spacing w:before="60" w:after="60" w:line="260" w:lineRule="atLeast"/>
              <w:ind w:left="260" w:right="0" w:hanging="26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Financial Modeling &amp; Valuation Analyst (FMVA), CFI</w:t>
            </w:r>
          </w:p>
        </w:tc>
      </w:tr>
      <w:tr>
        <w:tblPrEx>
          <w:tblW w:w="11440" w:type="dxa"/>
          <w:jc w:val="left"/>
          <w:tblInd w:w="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7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1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60"/>
              </w:tabs>
              <w:spacing w:before="60" w:after="60" w:line="260" w:lineRule="atLeast"/>
              <w:ind w:left="260" w:right="0" w:hanging="26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Certified Finance Transformation Professional (CFTP)</w:t>
            </w:r>
          </w:p>
        </w:tc>
        <w:tc>
          <w:tcPr>
            <w:tcW w:w="57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1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60"/>
              </w:tabs>
              <w:spacing w:before="60" w:after="400" w:line="260" w:lineRule="atLeast"/>
              <w:ind w:left="260" w:right="0" w:hanging="26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SAP Financial Accounting (FI) Certification</w:t>
            </w:r>
          </w:p>
        </w:tc>
      </w:tr>
    </w:tbl>
    <w:p>
      <w:pPr>
        <w:pStyle w:val="documentskn-mlo4head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line="30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documentheadingpadding"/>
          <w:color w:val="FFFFFF"/>
          <w:shd w:val="clear" w:color="auto" w:fill="E0A83A"/>
        </w:rPr>
        <w:t>   </w:t>
      </w:r>
      <w:r>
        <w:rPr>
          <w:rStyle w:val="span"/>
          <w:rFonts w:ascii="Barlow Condensed" w:eastAsia="Barlow Condensed" w:hAnsi="Barlow Condensed" w:cs="Barlow Condensed"/>
          <w:color w:val="FFFFFF"/>
          <w:shd w:val="clear" w:color="auto" w:fill="E0A83A"/>
        </w:rPr>
        <w:t>Projects</w:t>
      </w:r>
      <w:r>
        <w:rPr>
          <w:rStyle w:val="documentheadingpadding"/>
          <w:color w:val="FFFFFF"/>
          <w:shd w:val="clear" w:color="auto" w:fill="E0A83A"/>
        </w:rPr>
        <w:t>   </w:t>
      </w:r>
    </w:p>
    <w:p>
      <w:pPr>
        <w:pStyle w:val="div"/>
        <w:pBdr>
          <w:top w:val="none" w:sz="0" w:space="14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400" w:line="260" w:lineRule="atLeas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ERP Implementation for Accounts Payable, Reduced invoice processing time by 30% using SAP automation. Financial Dashboard Optimization, Standardized reporting across departments improving management decision-making speed.</w:t>
      </w:r>
    </w:p>
    <w:p>
      <w:pPr>
        <w:pStyle w:val="documentskn-mlo4head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line="30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documentheadingpadding"/>
          <w:color w:val="FFFFFF"/>
          <w:shd w:val="clear" w:color="auto" w:fill="E0A83A"/>
        </w:rPr>
        <w:t>   </w:t>
      </w:r>
      <w:r>
        <w:rPr>
          <w:rStyle w:val="span"/>
          <w:rFonts w:ascii="Barlow Condensed" w:eastAsia="Barlow Condensed" w:hAnsi="Barlow Condensed" w:cs="Barlow Condensed"/>
          <w:color w:val="FFFFFF"/>
          <w:shd w:val="clear" w:color="auto" w:fill="E0A83A"/>
        </w:rPr>
        <w:t>Accomplishments</w:t>
      </w:r>
      <w:r>
        <w:rPr>
          <w:rStyle w:val="documentheadingpadding"/>
          <w:color w:val="FFFFFF"/>
          <w:shd w:val="clear" w:color="auto" w:fill="E0A83A"/>
        </w:rPr>
        <w:t>   </w:t>
      </w:r>
    </w:p>
    <w:p>
      <w:pPr>
        <w:pStyle w:val="documentskn-mlo4ulli"/>
        <w:numPr>
          <w:ilvl w:val="0"/>
          <w:numId w:val="18"/>
        </w:numPr>
        <w:pBdr>
          <w:top w:val="none" w:sz="0" w:space="14" w:color="auto"/>
          <w:left w:val="none" w:sz="0" w:space="0" w:color="auto"/>
          <w:bottom w:val="none" w:sz="0" w:space="0" w:color="auto"/>
          <w:right w:val="none" w:sz="0" w:space="0" w:color="auto"/>
        </w:pBdr>
        <w:spacing w:before="60" w:after="0" w:line="260" w:lineRule="atLeast"/>
        <w:ind w:left="260" w:right="0" w:hanging="252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Reduced month-end closing time by 25% at EY India through finance process automation.</w:t>
      </w:r>
    </w:p>
    <w:p>
      <w:pPr>
        <w:pStyle w:val="documentskn-mlo4ulli"/>
        <w:numPr>
          <w:ilvl w:val="0"/>
          <w:numId w:val="18"/>
        </w:numPr>
        <w:spacing w:after="0" w:line="260" w:lineRule="atLeast"/>
        <w:ind w:left="260" w:right="0" w:hanging="252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Successfully implemented ERP modules at KPMG India improving reporting accuracy by 20%.</w:t>
      </w:r>
    </w:p>
    <w:p>
      <w:pPr>
        <w:pStyle w:val="documentskn-mlo4ullinth-last-child1"/>
        <w:numPr>
          <w:ilvl w:val="0"/>
          <w:numId w:val="18"/>
        </w:numPr>
        <w:pBdr>
          <w:left w:val="none" w:sz="0" w:space="3" w:color="auto"/>
        </w:pBdr>
        <w:spacing w:after="400" w:line="260" w:lineRule="atLeast"/>
        <w:ind w:left="260" w:right="0" w:hanging="252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Led finance process standardization at PwC India resulting in consistent workflows across teams.</w:t>
      </w:r>
    </w:p>
    <w:sectPr>
      <w:pgSz w:w="12240" w:h="15840"/>
      <w:pgMar w:top="400" w:right="400" w:bottom="400" w:left="400"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Open Sans">
    <w:charset w:val="00"/>
    <w:family w:val="auto"/>
    <w:pitch w:val="default"/>
    <w:sig w:usb0="00000000" w:usb1="00000000" w:usb2="00000000" w:usb3="00000000" w:csb0="00000001" w:csb1="00000000"/>
    <w:embedRegular r:id="rId1" w:fontKey="{82256AA5-84D0-4998-8AC7-9B69A67CC897}"/>
    <w:embedBold r:id="rId2" w:fontKey="{067F0FE4-F2FC-4189-B03E-46C759B0528E}"/>
  </w:font>
  <w:font w:name="Abel">
    <w:charset w:val="00"/>
    <w:family w:val="auto"/>
    <w:pitch w:val="default"/>
    <w:embedRegular r:id="rId3" w:fontKey="{A82DD9C7-6923-4741-96C0-2D67B9A1EE41}"/>
  </w:font>
  <w:font w:name="Barlow Condensed">
    <w:charset w:val="00"/>
    <w:family w:val="auto"/>
    <w:pitch w:val="default"/>
    <w:embedRegular r:id="rId4" w:fontKey="{7918EB6B-95E3-4E15-9211-6FE2E592BA09}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>
    <w:nsid w:val="00000007"/>
    <w:multiLevelType w:val="hybridMultilevel"/>
    <w:tmpl w:val="00000007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>
    <w:nsid w:val="00000008"/>
    <w:multiLevelType w:val="hybridMultilevel"/>
    <w:tmpl w:val="0000000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8">
    <w:nsid w:val="00000009"/>
    <w:multiLevelType w:val="hybridMultilevel"/>
    <w:tmpl w:val="00000009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9">
    <w:nsid w:val="0000000A"/>
    <w:multiLevelType w:val="hybridMultilevel"/>
    <w:tmpl w:val="0000000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0">
    <w:nsid w:val="0000000B"/>
    <w:multiLevelType w:val="hybridMultilevel"/>
    <w:tmpl w:val="0000000B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1">
    <w:nsid w:val="0000000C"/>
    <w:multiLevelType w:val="hybridMultilevel"/>
    <w:tmpl w:val="00000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2">
    <w:nsid w:val="0000000D"/>
    <w:multiLevelType w:val="hybridMultilevel"/>
    <w:tmpl w:val="0000000D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3">
    <w:nsid w:val="0000000E"/>
    <w:multiLevelType w:val="hybridMultilevel"/>
    <w:tmpl w:val="000000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4">
    <w:nsid w:val="0000000F"/>
    <w:multiLevelType w:val="hybridMultilevel"/>
    <w:tmpl w:val="0000000F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5">
    <w:nsid w:val="00000010"/>
    <w:multiLevelType w:val="hybridMultilevel"/>
    <w:tmpl w:val="0000001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6">
    <w:nsid w:val="00000011"/>
    <w:multiLevelType w:val="hybridMultilevel"/>
    <w:tmpl w:val="0000001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7">
    <w:nsid w:val="00000012"/>
    <w:multiLevelType w:val="hybridMultilevel"/>
    <w:tmpl w:val="0000001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  <w:num w:numId="17">
    <w:abstractNumId w:val="16"/>
  </w:num>
  <w:num w:numId="18">
    <w:abstractNumId w:val="1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tLeast"/>
      <w:jc w:val="left"/>
      <w:textAlignment w:val="baseline"/>
    </w:pPr>
    <w:rPr>
      <w:sz w:val="24"/>
      <w:szCs w:val="24"/>
      <w:bdr w:val="none" w:sz="0" w:space="0" w:color="auto"/>
      <w:vertAlign w:val="baseli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240" w:after="0"/>
      <w:textAlignment w:val="baseline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  <w:bdr w:val="none" w:sz="0" w:space="0" w:color="auto"/>
      <w:vertAlign w:val="baseline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  <w:bdr w:val="none" w:sz="0" w:space="0" w:color="auto"/>
      <w:vertAlign w:val="baseline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  <w:bdr w:val="none" w:sz="0" w:space="0" w:color="auto"/>
      <w:vertAlign w:val="baseline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  <w:bdr w:val="none" w:sz="0" w:space="0" w:color="auto"/>
      <w:vertAlign w:val="baseline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  <w:bdr w:val="none" w:sz="0" w:space="0" w:color="auto"/>
      <w:vertAlign w:val="baseline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  <w:bdr w:val="none" w:sz="0" w:space="0" w:color="auto"/>
      <w:vertAlign w:val="baseline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documentskn-mlo4fontsize">
    <w:name w:val="document_skn-mlo4_fontsize"/>
    <w:basedOn w:val="Normal"/>
    <w:rPr>
      <w:sz w:val="20"/>
      <w:szCs w:val="20"/>
    </w:rPr>
  </w:style>
  <w:style w:type="paragraph" w:customStyle="1" w:styleId="documentskn-mlo4top-section">
    <w:name w:val="document_skn-mlo4_top-section"/>
    <w:basedOn w:val="Normal"/>
    <w:pPr>
      <w:jc w:val="center"/>
    </w:pPr>
  </w:style>
  <w:style w:type="paragraph" w:customStyle="1" w:styleId="div">
    <w:name w:val="div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documentskn-mlo4name-secsection">
    <w:name w:val="document_skn-mlo4_name-sec_section"/>
    <w:basedOn w:val="Normal"/>
  </w:style>
  <w:style w:type="character" w:customStyle="1" w:styleId="documentPARAGRAPHNAMEnamecellnamephotopaddingcell">
    <w:name w:val="document_PARAGRAPH_NAME_namecell_namephotopaddingcell"/>
    <w:basedOn w:val="DefaultParagraphFont"/>
  </w:style>
  <w:style w:type="character" w:customStyle="1" w:styleId="documentPARAGRAPHNAMEnamecellphotocell">
    <w:name w:val="document_PARAGRAPH_NAME_namecell_photocell"/>
    <w:basedOn w:val="DefaultParagraphFont"/>
  </w:style>
  <w:style w:type="character" w:customStyle="1" w:styleId="documentPARAGRAPHNAMEnamecellnamemidcell">
    <w:name w:val="document_PARAGRAPH_NAME_namecell_namemidcell"/>
    <w:basedOn w:val="DefaultParagraphFont"/>
  </w:style>
  <w:style w:type="paragraph" w:customStyle="1" w:styleId="documentskn-mlo4txt-caps">
    <w:name w:val="document_skn-mlo4_txt-caps"/>
    <w:basedOn w:val="Normal"/>
    <w:rPr>
      <w:caps/>
    </w:rPr>
  </w:style>
  <w:style w:type="character" w:customStyle="1" w:styleId="span">
    <w:name w:val="span"/>
    <w:basedOn w:val="DefaultParagraphFont"/>
    <w:rPr>
      <w:bdr w:val="none" w:sz="0" w:space="0" w:color="auto"/>
      <w:vertAlign w:val="baseline"/>
    </w:rPr>
  </w:style>
  <w:style w:type="character" w:customStyle="1" w:styleId="divCharacter">
    <w:name w:val="div Character"/>
    <w:basedOn w:val="DefaultParagraphFont"/>
    <w:rPr>
      <w:bdr w:val="none" w:sz="0" w:space="0" w:color="auto"/>
      <w:vertAlign w:val="baseline"/>
    </w:rPr>
  </w:style>
  <w:style w:type="character" w:customStyle="1" w:styleId="documentPARAGRAPHNAMEnamecellnamerightcell">
    <w:name w:val="document_PARAGRAPH_NAME_namecell_namerightcell"/>
    <w:basedOn w:val="DefaultParagraphFont"/>
  </w:style>
  <w:style w:type="paragraph" w:customStyle="1" w:styleId="documentPARAGRAPHNAMEnamecellnamerightcellParagraph">
    <w:name w:val="document_PARAGRAPH_NAME_namecell_namerightcell Paragraph"/>
    <w:basedOn w:val="Normal"/>
  </w:style>
  <w:style w:type="character" w:customStyle="1" w:styleId="documentPARAGRAPHNAMEnamecellnamepaddingcell">
    <w:name w:val="document_PARAGRAPH_NAME_namecell_namepaddingcell"/>
    <w:basedOn w:val="DefaultParagraphFont"/>
  </w:style>
  <w:style w:type="character" w:customStyle="1" w:styleId="documentPARAGRAPHNAMEnamecellresumetitlecell">
    <w:name w:val="document_PARAGRAPH_NAME_namecell_resumetitlecell"/>
    <w:basedOn w:val="DefaultParagraphFont"/>
    <w:rPr>
      <w:shd w:val="clear" w:color="auto" w:fill="E0A83A"/>
    </w:rPr>
  </w:style>
  <w:style w:type="character" w:customStyle="1" w:styleId="documentskn-mlo4resume-titlespan">
    <w:name w:val="document_skn-mlo4_resume-title_span"/>
    <w:basedOn w:val="DefaultParagraphFont"/>
    <w:rPr>
      <w:sz w:val="28"/>
      <w:szCs w:val="28"/>
    </w:rPr>
  </w:style>
  <w:style w:type="paragraph" w:customStyle="1" w:styleId="documentPARAGRAPHNAMEnamecellnamemidcellParagraph">
    <w:name w:val="document_PARAGRAPH_NAME_namecell_namemidcell Paragraph"/>
    <w:basedOn w:val="Normal"/>
  </w:style>
  <w:style w:type="table" w:customStyle="1" w:styleId="documentskn-mlo4firstparagraphparagraph">
    <w:name w:val="document_skn-mlo4_firstparagraph_paragraph"/>
    <w:basedOn w:val="TableNormal"/>
    <w:tblPr/>
  </w:style>
  <w:style w:type="paragraph" w:customStyle="1" w:styleId="documentskn-mlo4sectionnth-child1">
    <w:name w:val="document_skn-mlo4_section_nth-child(1)"/>
    <w:basedOn w:val="Normal"/>
  </w:style>
  <w:style w:type="paragraph" w:customStyle="1" w:styleId="documentskn-mlo4firstparagraphparagraphParagraph">
    <w:name w:val="document_skn-mlo4_firstparagraph_paragraph Paragraph"/>
    <w:basedOn w:val="Normal"/>
    <w:pPr>
      <w:pBdr>
        <w:top w:val="none" w:sz="0" w:space="14" w:color="auto"/>
      </w:pBdr>
    </w:pPr>
  </w:style>
  <w:style w:type="paragraph" w:customStyle="1" w:styleId="documentskn-mlo4address">
    <w:name w:val="document_skn-mlo4_address"/>
    <w:basedOn w:val="Normal"/>
    <w:pPr>
      <w:spacing w:line="440" w:lineRule="atLeast"/>
    </w:pPr>
    <w:rPr>
      <w:color w:val="000000"/>
    </w:rPr>
  </w:style>
  <w:style w:type="character" w:customStyle="1" w:styleId="documentskn-mlo4icon-row">
    <w:name w:val="document_skn-mlo4_icon-row"/>
    <w:basedOn w:val="DefaultParagraphFont"/>
  </w:style>
  <w:style w:type="character" w:customStyle="1" w:styleId="documentskn-mlo4addressany">
    <w:name w:val="document_skn-mlo4_address_any"/>
    <w:basedOn w:val="DefaultParagraphFont"/>
  </w:style>
  <w:style w:type="character" w:customStyle="1" w:styleId="documentskn-mlo4icon-rownth-child1icon-svg">
    <w:name w:val="document_skn-mlo4_icon-row_nth-child(1)_icon-svg"/>
    <w:basedOn w:val="DefaultParagraphFont"/>
  </w:style>
  <w:style w:type="character" w:customStyle="1" w:styleId="documentskn-mlo4ico-txt">
    <w:name w:val="document_skn-mlo4_ico-txt"/>
    <w:basedOn w:val="DefaultParagraphFont"/>
  </w:style>
  <w:style w:type="character" w:customStyle="1" w:styleId="documentskn-mlo4icon-svg">
    <w:name w:val="document_skn-mlo4_icon-svg"/>
    <w:basedOn w:val="DefaultParagraphFont"/>
  </w:style>
  <w:style w:type="character" w:customStyle="1" w:styleId="documentskn-mlo4icon-rownth-last-child1">
    <w:name w:val="document_skn-mlo4_icon-row_nth-last-child(1)"/>
    <w:basedOn w:val="DefaultParagraphFont"/>
  </w:style>
  <w:style w:type="character" w:customStyle="1" w:styleId="documentskn-mlo4addressCharacter">
    <w:name w:val="document_skn-mlo4_address Character"/>
    <w:basedOn w:val="DefaultParagraphFont"/>
    <w:rPr>
      <w:color w:val="000000"/>
    </w:rPr>
  </w:style>
  <w:style w:type="paragraph" w:customStyle="1" w:styleId="documentskn-mlo4top-sectionsectionleft-align">
    <w:name w:val="document_skn-mlo4_top-section_section_left-align"/>
    <w:basedOn w:val="Normal"/>
    <w:pPr>
      <w:jc w:val="left"/>
    </w:pPr>
  </w:style>
  <w:style w:type="paragraph" w:customStyle="1" w:styleId="documentskn-mlo4heading">
    <w:name w:val="document_skn-mlo4_heading"/>
    <w:basedOn w:val="Normal"/>
  </w:style>
  <w:style w:type="character" w:customStyle="1" w:styleId="documentskn-mlo4sectionTitle">
    <w:name w:val="document_skn-mlo4_sectionTitle"/>
    <w:basedOn w:val="DefaultParagraphFont"/>
    <w:rPr>
      <w:rFonts w:ascii="Barlow Condensed" w:eastAsia="Barlow Condensed" w:hAnsi="Barlow Condensed" w:cs="Barlow Condensed"/>
      <w:color w:val="FFFFFF"/>
      <w:sz w:val="24"/>
      <w:szCs w:val="24"/>
      <w:shd w:val="clear" w:color="auto" w:fill="E0A83A"/>
    </w:rPr>
  </w:style>
  <w:style w:type="character" w:customStyle="1" w:styleId="documentheadingpadding">
    <w:name w:val="document_headingpadding"/>
    <w:basedOn w:val="DefaultParagraphFont"/>
    <w:rPr>
      <w:rFonts w:ascii="Arial" w:eastAsia="Arial" w:hAnsi="Arial" w:cs="Arial"/>
      <w:sz w:val="24"/>
      <w:szCs w:val="24"/>
    </w:rPr>
  </w:style>
  <w:style w:type="paragraph" w:customStyle="1" w:styleId="p">
    <w:name w:val="p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documentskn-mlo4twocolsectionliasposeli">
    <w:name w:val="document_skn-mlo4_twocolsection_li_asposeli"/>
    <w:basedOn w:val="Normal"/>
  </w:style>
  <w:style w:type="character" w:customStyle="1" w:styleId="pCharacter">
    <w:name w:val="p Character"/>
    <w:basedOn w:val="DefaultParagraphFont"/>
    <w:rPr>
      <w:bdr w:val="none" w:sz="0" w:space="0" w:color="auto"/>
      <w:vertAlign w:val="baseline"/>
    </w:rPr>
  </w:style>
  <w:style w:type="paragraph" w:customStyle="1" w:styleId="documentskn-mlo4top-sectionparagraph">
    <w:name w:val="document_skn-mlo4_top-section_paragraph"/>
    <w:basedOn w:val="Normal"/>
  </w:style>
  <w:style w:type="character" w:customStyle="1" w:styleId="documentskn-mlo4mid-sectionleft-box">
    <w:name w:val="document_skn-mlo4_mid-section_left-box"/>
    <w:basedOn w:val="DefaultParagraphFont"/>
  </w:style>
  <w:style w:type="character" w:customStyle="1" w:styleId="documentsec-exprparagraphTableany">
    <w:name w:val="document_sec-expr_paragraphTable &gt; any"/>
    <w:basedOn w:val="DefaultParagraphFont"/>
  </w:style>
  <w:style w:type="character" w:customStyle="1" w:styleId="documentfirstparagraphparagraphparagraphTablediv">
    <w:name w:val="document_firstparagraph_paragraph_paragraphTable &gt; div"/>
    <w:basedOn w:val="DefaultParagraphFont"/>
  </w:style>
  <w:style w:type="paragraph" w:customStyle="1" w:styleId="documentskn-mlo4disp-block">
    <w:name w:val="document_skn-mlo4_disp-block"/>
    <w:basedOn w:val="Normal"/>
  </w:style>
  <w:style w:type="character" w:customStyle="1" w:styleId="documentskn-mlo4txt-bold">
    <w:name w:val="document_skn-mlo4_txt-bold"/>
    <w:basedOn w:val="DefaultParagraphFont"/>
    <w:rPr>
      <w:b/>
      <w:bCs/>
      <w:spacing w:val="20"/>
    </w:rPr>
  </w:style>
  <w:style w:type="paragraph" w:customStyle="1" w:styleId="documentskn-mlo4sec-exprulli">
    <w:name w:val="document_skn-mlo4_sec-expr_ul_li"/>
    <w:basedOn w:val="Normal"/>
  </w:style>
  <w:style w:type="paragraph" w:customStyle="1" w:styleId="documentskn-mlo4sec-exprullinth-last-child1">
    <w:name w:val="document_skn-mlo4_sec-expr_ul_li_nth-last-child(1)"/>
    <w:basedOn w:val="Normal"/>
  </w:style>
  <w:style w:type="table" w:customStyle="1" w:styleId="documentskn-mlo4sec-exprparagraph">
    <w:name w:val="document_skn-mlo4_sec-expr_paragraph"/>
    <w:basedOn w:val="TableNormal"/>
    <w:tblPr/>
  </w:style>
  <w:style w:type="character" w:customStyle="1" w:styleId="documentskn-mlo4mid-sectionleftmidcell">
    <w:name w:val="document_skn-mlo4_mid-section_leftmidcell"/>
    <w:basedOn w:val="DefaultParagraphFont"/>
  </w:style>
  <w:style w:type="paragraph" w:customStyle="1" w:styleId="documentskn-mlo4mid-sectionleftmidcellParagraph">
    <w:name w:val="document_skn-mlo4_mid-section_leftmidcell Paragraph"/>
    <w:basedOn w:val="Normal"/>
  </w:style>
  <w:style w:type="character" w:customStyle="1" w:styleId="documentskn-mlo4mid-sectionrightmidcell">
    <w:name w:val="document_skn-mlo4_mid-section_rightmidcell"/>
    <w:basedOn w:val="DefaultParagraphFont"/>
  </w:style>
  <w:style w:type="character" w:customStyle="1" w:styleId="documentskn-mlo4mid-sectiondiv">
    <w:name w:val="document_skn-mlo4_mid-section &gt; div"/>
    <w:basedOn w:val="DefaultParagraphFont"/>
  </w:style>
  <w:style w:type="paragraph" w:customStyle="1" w:styleId="documentskn-mlo4educationfirstparagraphparagraph">
    <w:name w:val="document_skn-mlo4_education_firstparagraph_paragraph"/>
    <w:basedOn w:val="Normal"/>
    <w:pPr>
      <w:pBdr>
        <w:top w:val="none" w:sz="0" w:space="0" w:color="auto"/>
      </w:pBdr>
    </w:pPr>
  </w:style>
  <w:style w:type="paragraph" w:customStyle="1" w:styleId="documentskn-mlo4educationparagraph">
    <w:name w:val="document_skn-mlo4_education_paragraph"/>
    <w:basedOn w:val="Normal"/>
    <w:pPr>
      <w:pBdr>
        <w:top w:val="none" w:sz="0" w:space="0" w:color="auto"/>
      </w:pBdr>
    </w:pPr>
  </w:style>
  <w:style w:type="paragraph" w:customStyle="1" w:styleId="documentskn-mlo4educationparagraphnth-last-child1">
    <w:name w:val="document_skn-mlo4_education_paragraph_nth-last-child(1)"/>
    <w:basedOn w:val="Normal"/>
  </w:style>
  <w:style w:type="table" w:customStyle="1" w:styleId="documentskn-mlo4mid-section">
    <w:name w:val="document_skn-mlo4_mid-section"/>
    <w:basedOn w:val="TableNormal"/>
    <w:tblPr/>
  </w:style>
  <w:style w:type="paragraph" w:customStyle="1" w:styleId="documentskn-mlo4twocolsectionparagraph">
    <w:name w:val="document_skn-mlo4_twocolsection_paragraph"/>
    <w:basedOn w:val="Normal"/>
    <w:pPr>
      <w:pBdr>
        <w:top w:val="none" w:sz="0" w:space="0" w:color="auto"/>
      </w:pBdr>
    </w:pPr>
  </w:style>
  <w:style w:type="paragraph" w:customStyle="1" w:styleId="documentskn-mlo4paragraphnth-last-child1">
    <w:name w:val="document_skn-mlo4_paragraph_nth-last-child(1)"/>
    <w:basedOn w:val="Normal"/>
  </w:style>
  <w:style w:type="paragraph" w:customStyle="1" w:styleId="documentskn-mlo4section">
    <w:name w:val="document_skn-mlo4_section"/>
    <w:basedOn w:val="Normal"/>
  </w:style>
  <w:style w:type="paragraph" w:customStyle="1" w:styleId="documentskn-mlo4ulli">
    <w:name w:val="document_skn-mlo4_ul_li"/>
    <w:basedOn w:val="Normal"/>
    <w:pPr>
      <w:pBdr>
        <w:left w:val="none" w:sz="0" w:space="3" w:color="auto"/>
        <w:bottom w:val="none" w:sz="0" w:space="3" w:color="auto"/>
      </w:pBdr>
    </w:pPr>
  </w:style>
  <w:style w:type="paragraph" w:customStyle="1" w:styleId="documentskn-mlo4ullinth-last-child1">
    <w:name w:val="document_skn-mlo4_ul_li_nth-last-child(1)"/>
    <w:basedOn w:val="Normal"/>
    <w:pPr>
      <w:pBdr>
        <w:bottom w:val="none" w:sz="0" w:space="0" w:color="auto"/>
      </w:pBdr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numbering" Target="numbering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theme" Target="theme/theme1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Ridhima Kapoor</dc:title>
  <cp:revision>0</cp:revision>
</cp:coreProperties>
</file>