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slo3top-section"/>
        <w:tblW w:w="0" w:type="auto"/>
        <w:tblCellSpacing w:w="0" w:type="dxa"/>
        <w:tblLayout w:type="fixed"/>
        <w:tblCellMar>
          <w:top w:w="0" w:type="dxa"/>
          <w:left w:w="0" w:type="dxa"/>
          <w:bottom w:w="400" w:type="dxa"/>
          <w:right w:w="0" w:type="dxa"/>
        </w:tblCellMar>
        <w:tblLook w:val="05E0"/>
      </w:tblPr>
      <w:tblGrid>
        <w:gridCol w:w="11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40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64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CAA04C"/>
                <w:sz w:val="48"/>
                <w:szCs w:val="4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CAA04C"/>
                <w:sz w:val="48"/>
                <w:szCs w:val="48"/>
              </w:rPr>
              <w:t>Rakesh</w:t>
            </w:r>
            <w:r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CAA04C"/>
                <w:sz w:val="48"/>
                <w:szCs w:val="48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CAA04C"/>
                <w:sz w:val="48"/>
                <w:szCs w:val="48"/>
              </w:rPr>
              <w:t>Mahajan</w:t>
            </w:r>
          </w:p>
          <w:p>
            <w:pPr>
              <w:pStyle w:val="skn-slo3txt-caps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80" w:lineRule="atLeast"/>
              <w:ind w:left="0" w:right="0"/>
              <w:rPr>
                <w:rStyle w:val="skn-slo3top-sectionright-box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aps/>
                <w:color w:val="050505"/>
                <w:sz w:val="28"/>
                <w:szCs w:val="28"/>
              </w:rPr>
              <w:t>Emergency Nursing Assistant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6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inline>
                  <wp:extent cx="7598560" cy="13318"/>
                  <wp:docPr id="10000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8560" cy="13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+91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98765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43210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top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8240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rakesh.mahajan@example.com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59264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,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Maharashtra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400069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drawing>
                <wp:anchor simplePos="0" relativeHeight="251660288" behindDoc="0" locked="0" layoutInCell="1" allowOverlap="1">
                  <wp:simplePos x="0" y="0"/>
                  <wp:positionH relativeFrom="character">
                    <wp:posOffset>0</wp:posOffset>
                  </wp:positionH>
                  <wp:positionV relativeFrom="line">
                    <wp:posOffset>120689</wp:posOffset>
                  </wp:positionV>
                  <wp:extent cx="64041" cy="102158"/>
                  <wp:wrapNone/>
                  <wp:docPr id="10000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41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Style w:val="bluebullet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pacebeforebulletcntc"/>
                <w:color w:val="050505"/>
              </w:rPr>
              <w:t> 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August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1994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slo3ullinth-last-child1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Professional Summary</w:t>
      </w: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30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Experienced in emergency patient care and trauma support, skilled in vital signs monitoring and infection control procedures. Proven ability to handle medical equipment and coordinate team efforts effectively in high-pressure situations. Seeking to leverage expertise as an Emergency Nursing Assistant to contribute to patient care excellence and enhance emergency department operations.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Skills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29"/>
        <w:gridCol w:w="780"/>
        <w:gridCol w:w="5051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Emergency patient care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Vital signs monitoring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Trauma care assistance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CPR and basic life support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Patient transport handling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Medical equipment handling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Infection control procedures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8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Emergency documentation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9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Wound dressing support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Team coordination in emergencies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Experience</w:t>
      </w: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131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0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Emergency Nursing Assistant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Apollo Hospitals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2021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Present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emergency physicians during trauma cases, ensuring timely availability of instruments, medications, and patient positioning support.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Monitored vital signs continuously and reported sudden changes promptly to senior nurses and on-duty doctors.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rapid patient admissions, triage processes, and emergency documentation during peak casualty hours.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emergency beds, oxygen supplies, and monitors before patient arrival in critical situations.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in wound cleaning, dressing changes, and basic procedures under nurse supervision.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Ensured infection control compliance by maintaining cleanliness of emergency bays and equipment.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1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Coordinated patient transfers to ICU, imaging, and operation theatres safely and efficiently.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2336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1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Emergency Nursing Assistant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Fortis Hospital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Navi 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January 2019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2021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3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15"/>
              <w:gridCol w:w="600"/>
              <w:gridCol w:w="5115"/>
            </w:tblGrid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emergency nurses during cardiac, accident, and medical emergency cases requiring immediate intervention.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Performed routine monitoring of blood pressure, pulse, temperature, and oxygen saturation levels.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doctors during minor emergency procedures and suturing preparations.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readiness of emergency crash carts, defibrillators, and oxygen cylinders.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in patient lifting, positioning, and safe movement within emergency department areas.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15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Recorded patient observations accurately in emergency charts and digital systems.</w:t>
                  </w:r>
                </w:p>
              </w:tc>
            </w:tr>
            <w:tr>
              <w:tblPrEx>
                <w:tblW w:w="1083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15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2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Followed strict infection prevention protocols during patient care and waste disposal activities.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15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rPr>
          <w:vanish/>
        </w:rPr>
      </w:pPr>
    </w:p>
    <w:tbl>
      <w:tblPr>
        <w:tblStyle w:val="skn-slo3sectionexpr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3360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3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slo3disp-block"/>
              <w:spacing w:before="0" w:after="0" w:line="280" w:lineRule="atLeas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txt-capsCharacter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Emergency Care Assistant</w:t>
            </w:r>
            <w:r>
              <w:rPr>
                <w:rStyle w:val="spacebeforecomp"/>
                <w:color w:val="050505"/>
              </w:rPr>
              <w:t>  </w:t>
            </w:r>
            <w:r>
              <w:rPr>
                <w:rStyle w:val="skn-slo3color-support"/>
                <w:rFonts w:ascii="Open Sans" w:eastAsia="Open Sans" w:hAnsi="Open Sans" w:cs="Open Sans"/>
                <w:sz w:val="20"/>
                <w:szCs w:val="20"/>
              </w:rPr>
              <w:t>Lokmanya Tilak Municipal General Hospital</w:t>
            </w:r>
          </w:p>
          <w:tbl>
            <w:tblPr>
              <w:tblStyle w:val="skn-slo3sectionexpr-sectbl-upper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680"/>
              <w:gridCol w:w="200"/>
              <w:gridCol w:w="406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6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Mumbai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textAlignment w:val="auto"/>
                    <w:rPr>
                      <w:rStyle w:val="singlecolumnspanpaddedlinenth-child1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060" w:type="dxa"/>
                  <w:tcMar>
                    <w:top w:w="0" w:type="dxa"/>
                    <w:left w:w="0" w:type="dxa"/>
                    <w:bottom w:w="0" w:type="dxa"/>
                    <w:right w:w="20" w:type="dxa"/>
                  </w:tcMar>
                  <w:vAlign w:val="bottom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80" w:lineRule="atLeast"/>
                    <w:ind w:left="100" w:right="0"/>
                    <w:jc w:val="right"/>
                    <w:textAlignment w:val="auto"/>
                    <w:rPr>
                      <w:rStyle w:val="skn-slo3sectionexpr-sectbl-upper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July 2017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December 2018</w:t>
                  </w:r>
                  <w:r>
                    <w:rPr>
                      <w:rStyle w:val="skn-slo3txt-itl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00" w:right="0"/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xpr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tbl>
            <w:tblPr>
              <w:tblW w:w="10840" w:type="dxa"/>
              <w:jc w:val="left"/>
              <w:tblInd w:w="100" w:type="dxa"/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5120"/>
              <w:gridCol w:w="600"/>
              <w:gridCol w:w="5120"/>
            </w:tblGrid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before="0"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Assisted nursing staff in managing high patient inflow during mass casualty and accident cases.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Helped stabilize patients by supporting oxygen therapy and IV line setup assistance.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Transported emergency patients safely between casualty, diagnostics, and wards.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Prepared emergency rooms by arranging trolleys, linens, and medical supplies.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Observed patient behavior and pain levels, reporting concerns to senior staff.</w:t>
                  </w:r>
                </w:p>
              </w:tc>
              <w:tc>
                <w:tcPr>
                  <w:tcW w:w="600" w:type="dxa"/>
                  <w:tcMar>
                    <w:bottom w:w="100" w:type="dxa"/>
                  </w:tcMar>
                </w:tcPr>
                <w:p/>
              </w:tc>
              <w:tc>
                <w:tcPr>
                  <w:tcW w:w="5120" w:type="dxa"/>
                  <w:tcMar>
                    <w:left w:w="0" w:type="dxa"/>
                  </w:tcMar>
                </w:tcPr>
                <w:p>
                  <w:pPr>
                    <w:pStyle w:val="skn-slo3ulli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10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Supported family communication by guiding them through emergency department procedures.</w:t>
                  </w:r>
                </w:p>
              </w:tc>
            </w:tr>
            <w:tr>
              <w:tblPrEx>
                <w:tblW w:w="10840" w:type="dxa"/>
                <w:jc w:val="left"/>
                <w:tblInd w:w="10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jc w:val="left"/>
              </w:trPr>
              <w:tc>
                <w:tcPr>
                  <w:tcW w:w="5120" w:type="dxa"/>
                  <w:tcMar>
                    <w:left w:w="0" w:type="dxa"/>
                    <w:bottom w:w="0" w:type="dxa"/>
                  </w:tcMar>
                </w:tcPr>
                <w:p>
                  <w:pPr>
                    <w:pStyle w:val="skn-slo3ullinth-last-child1Paragraph"/>
                    <w:numPr>
                      <w:ilvl w:val="0"/>
                      <w:numId w:val="13"/>
                    </w:numPr>
                    <w:tabs>
                      <w:tab w:val="left" w:pos="400"/>
                    </w:tabs>
                    <w:spacing w:after="0" w:line="280" w:lineRule="atLeast"/>
                    <w:ind w:left="400" w:right="0" w:hanging="400"/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sectionexpr-secparlrColmnparagraphnth-last-child1singlecolumn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Maintained cleanliness and readiness of emergency equipment throughout shifts.</w:t>
                  </w:r>
                </w:p>
              </w:tc>
              <w:tc>
                <w:tcPr>
                  <w:tcW w:w="600" w:type="dxa"/>
                  <w:tcMar>
                    <w:bottom w:w="0" w:type="dxa"/>
                  </w:tcMar>
                </w:tcPr>
                <w:p/>
              </w:tc>
              <w:tc>
                <w:tcPr>
                  <w:tcW w:w="5120" w:type="dxa"/>
                  <w:tcMar>
                    <w:bottom w:w="0" w:type="dxa"/>
                  </w:tcMar>
                </w:tcPr>
                <w:p/>
              </w:tc>
            </w:tr>
          </w:tbl>
          <w:p/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Education</w:t>
      </w: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4384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-25400</wp:posOffset>
                  </wp:positionV>
                  <wp:extent cx="89410" cy="190998"/>
                  <wp:wrapNone/>
                  <wp:docPr id="100015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90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10th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Shivaji Vidyalaya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CAA04C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2009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90"/>
        <w:gridCol w:w="1093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90" w:type="dxa"/>
            <w:tcBorders>
              <w:left w:val="single" w:sz="8" w:space="0" w:color="C0C0C0"/>
            </w:tcBorders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5408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7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30" w:type="dxa"/>
            <w:noWrap w:val="0"/>
            <w:tcMar>
              <w:top w:w="0" w:type="dxa"/>
              <w:left w:w="0" w:type="dxa"/>
              <w:bottom w:w="40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12th Standard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Ruparel College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CAA04C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March 2011</w:t>
                  </w:r>
                </w:p>
              </w:tc>
            </w:tr>
          </w:tbl>
          <w:p>
            <w:pPr>
              <w:rPr>
                <w:rStyle w:val="skn-slo3sectionedu-secparlrColmn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slo3sectionedu-secparlrColmn"/>
        <w:tblW w:w="0" w:type="auto"/>
        <w:tblCellSpacing w:w="0" w:type="dxa"/>
        <w:tblInd w:w="1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280"/>
        <w:gridCol w:w="10940"/>
      </w:tblGrid>
      <w:tr>
        <w:tblPrEx>
          <w:tblW w:w="0" w:type="auto"/>
          <w:tblCellSpacing w:w="0" w:type="dxa"/>
          <w:tblInd w:w="1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28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80" w:lineRule="atLeast"/>
              <w:ind w:left="100" w:right="0"/>
              <w:textAlignment w:val="auto"/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slo3sectionedu-secparlrColmnparagraphnth-last-child1timeline-svg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drawing>
                <wp:anchor simplePos="0" relativeHeight="251666432" behindDoc="0" locked="0" layoutInCell="1" allowOverlap="1">
                  <wp:simplePos x="0" y="0"/>
                  <wp:positionH relativeFrom="column">
                    <wp:posOffset>-50800</wp:posOffset>
                  </wp:positionH>
                  <wp:positionV relativeFrom="paragraph">
                    <wp:posOffset>25400</wp:posOffset>
                  </wp:positionV>
                  <wp:extent cx="89410" cy="127540"/>
                  <wp:wrapNone/>
                  <wp:docPr id="100019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9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10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940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840"/>
              <w:gridCol w:w="100"/>
              <w:gridCol w:w="200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Bachelor of Science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in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>Nursing Assistance and Patient Care</w:t>
                  </w:r>
                  <w:r>
                    <w:rPr>
                      <w:rStyle w:val="skn-slo3edu-seccmn-title"/>
                      <w:rFonts w:ascii="Open Sans" w:eastAsia="Open Sans" w:hAnsi="Open Sans" w:cs="Open Sans"/>
                      <w:b/>
                      <w:bCs/>
                      <w:caps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20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slo3edu-secparagraphsinglecolumnedu-headerfield-group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6400"/>
              <w:gridCol w:w="100"/>
              <w:gridCol w:w="444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6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disp-block"/>
                    <w:spacing w:before="0" w:after="0" w:line="280" w:lineRule="atLeast"/>
                    <w:ind w:left="100" w:right="0"/>
                    <w:rPr>
                      <w:rStyle w:val="skn-slo3edu-secparagraphsinglecolumnedu-headerfield-groupfield-group-left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color-support"/>
                      <w:rFonts w:ascii="Open Sans" w:eastAsia="Open Sans" w:hAnsi="Open Sans" w:cs="Open Sans"/>
                      <w:sz w:val="20"/>
                      <w:szCs w:val="20"/>
                    </w:rPr>
                    <w:t>Mumbai University</w:t>
                  </w:r>
                  <w:r>
                    <w:rPr>
                      <w:rStyle w:val="skn-slo3txt-bold"/>
                      <w:rFonts w:ascii="Open Sans" w:eastAsia="Open Sans" w:hAnsi="Open Sans" w:cs="Open Sans"/>
                      <w:b/>
                      <w:bCs/>
                      <w:color w:val="CAA04C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slo3txt-capsCharacter"/>
                      <w:rFonts w:ascii="Open Sans" w:eastAsia="Open Sans" w:hAnsi="Open Sans" w:cs="Open Sans"/>
                      <w:caps/>
                      <w:color w:val="050505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slo3tbl-leftinn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 </w:t>
                  </w:r>
                </w:p>
              </w:tc>
              <w:tc>
                <w:tcPr>
                  <w:tcW w:w="4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slo3edu-secparagraphsinglecolumnedu-headerfield-grouppaddingcellParagraph"/>
                    <w:spacing w:line="280" w:lineRule="atLeast"/>
                    <w:ind w:left="100" w:right="0"/>
                    <w:jc w:val="right"/>
                    <w:rPr>
                      <w:rStyle w:val="skn-slo3edu-secparagraphsinglecolumnedu-headerfield-grouppaddingcell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i/>
                      <w:iCs/>
                      <w:color w:val="050505"/>
                      <w:sz w:val="20"/>
                      <w:szCs w:val="20"/>
                    </w:rPr>
                    <w:t>April 2014</w:t>
                  </w:r>
                </w:p>
              </w:tc>
            </w:tr>
          </w:tbl>
          <w:p>
            <w:pPr>
              <w:rPr>
                <w:rStyle w:val="skn-slo3sectionedu-secparlrColmnparagraphnth-last-child1singlecolum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Certifications</w:t>
      </w:r>
    </w:p>
    <w:tbl>
      <w:tblPr>
        <w:tblW w:w="10860" w:type="dxa"/>
        <w:jc w:val="left"/>
        <w:tblInd w:w="460" w:type="dxa"/>
        <w:tblCellMar>
          <w:left w:w="108" w:type="dxa"/>
          <w:right w:w="108" w:type="dxa"/>
        </w:tblCellMar>
      </w:tblPr>
      <w:tblGrid>
        <w:gridCol w:w="5038"/>
        <w:gridCol w:w="780"/>
        <w:gridCol w:w="5042"/>
      </w:tblGrid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4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Basic Life Support Certification, Indian Academy of Emergency Medical Services</w:t>
            </w:r>
          </w:p>
        </w:tc>
        <w:tc>
          <w:tcPr>
            <w:tcW w:w="600" w:type="dxa"/>
            <w:tcMar>
              <w:bottom w:w="100" w:type="dxa"/>
            </w:tcMar>
          </w:tcPr>
          <w:p/>
        </w:tc>
        <w:tc>
          <w:tcPr>
            <w:tcW w:w="5130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5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Hospital Emergency Care Assistant License, Maharashtra State Allied Health Council</w:t>
            </w:r>
          </w:p>
        </w:tc>
      </w:tr>
      <w:tr>
        <w:tblPrEx>
          <w:tblW w:w="10860" w:type="dxa"/>
          <w:jc w:val="left"/>
          <w:tblInd w:w="46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6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CPR and AED Certification, Indian Red Cross Society</w:t>
            </w:r>
          </w:p>
        </w:tc>
        <w:tc>
          <w:tcPr>
            <w:tcW w:w="600" w:type="dxa"/>
            <w:tcMar>
              <w:bottom w:w="0" w:type="dxa"/>
            </w:tcMar>
          </w:tcPr>
          <w:p/>
        </w:tc>
        <w:tc>
          <w:tcPr>
            <w:tcW w:w="5130" w:type="dxa"/>
            <w:tcMar>
              <w:left w:w="0" w:type="dxa"/>
              <w:bottom w:w="0" w:type="dxa"/>
            </w:tcMar>
          </w:tcPr>
          <w:p>
            <w:pPr>
              <w:pStyle w:val="p"/>
              <w:numPr>
                <w:ilvl w:val="0"/>
                <w:numId w:val="17"/>
              </w:numPr>
              <w:pBdr>
                <w:top w:val="none" w:sz="0" w:space="0" w:color="auto"/>
                <w:left w:val="none" w:sz="0" w:space="18" w:color="auto"/>
                <w:bottom w:val="none" w:sz="0" w:space="0" w:color="auto"/>
                <w:right w:val="none" w:sz="0" w:space="0" w:color="auto"/>
              </w:pBdr>
              <w:tabs>
                <w:tab w:val="left" w:pos="300"/>
              </w:tabs>
              <w:spacing w:before="0" w:after="0" w:line="300" w:lineRule="atLeast"/>
              <w:ind w:left="300" w:right="0" w:hanging="30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Emergency First Responder Certification, National Skill Development Corporation</w:t>
            </w:r>
          </w:p>
        </w:tc>
      </w:tr>
    </w:tbl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Projects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Emergency Triage Support Improvement Project, Focused on reducing patient waiting time during peak emergency hours. Infection Control Audit Project, In emergency department to improve hygiene and safety compliance.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Industry</w:t>
      </w:r>
    </w:p>
    <w:p>
      <w:pPr>
        <w:pStyle w:val="skn-slo3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80" w:lineRule="atLeas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Healthcare Services and Emergency Medical Care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Accomplishments</w:t>
      </w:r>
    </w:p>
    <w:p>
      <w:pPr>
        <w:pStyle w:val="skn-slo3ulliParagraph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at Apollo Hospitals for effective trauma support during a multi-vehicle accident emergency case.</w:t>
      </w:r>
    </w:p>
    <w:p>
      <w:pPr>
        <w:pStyle w:val="skn-slo3ulliParagraph"/>
        <w:numPr>
          <w:ilvl w:val="0"/>
          <w:numId w:val="18"/>
        </w:numPr>
        <w:spacing w:after="10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Appreciated by Fortis Hospital management for maintaining zero equipment downtime in emergency unit.</w:t>
      </w:r>
    </w:p>
    <w:p>
      <w:pPr>
        <w:pStyle w:val="skn-slo3ullinth-last-child1Paragraph"/>
        <w:numPr>
          <w:ilvl w:val="0"/>
          <w:numId w:val="18"/>
        </w:numPr>
        <w:spacing w:after="0" w:line="280" w:lineRule="atLeast"/>
        <w:ind w:left="400" w:right="0" w:hanging="23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Commended by Lokmanya Tilak Hospital senior nurses for handling high-pressure casualty situations efficiently.</w:t>
      </w:r>
    </w:p>
    <w:p>
      <w:pPr>
        <w:pStyle w:val="skn-slo3section-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0" w:right="0"/>
        <w:rPr>
          <w:rFonts w:ascii="Open Sans" w:eastAsia="Open Sans" w:hAnsi="Open Sans" w:cs="Open Sans"/>
          <w:b/>
          <w:bCs/>
          <w:caps/>
          <w:color w:val="CAA04C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  <w:t>References</w:t>
      </w:r>
    </w:p>
    <w:tbl>
      <w:tblPr>
        <w:tblStyle w:val="skn-slo3sectionreference-secrefparatable"/>
        <w:tblW w:w="0" w:type="auto"/>
        <w:tblCellSpacing w:w="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360"/>
        <w:gridCol w:w="600"/>
        <w:gridCol w:w="5360"/>
      </w:tblGrid>
      <w:tr>
        <w:tblPrEx>
          <w:tblW w:w="0" w:type="auto"/>
          <w:tblCellSpacing w:w="0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tLeast"/>
              <w:ind w:left="0" w:right="0"/>
              <w:textAlignment w:val="auto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References available upon request</w:t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5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rPr>
          <w:rFonts w:ascii="Open Sans" w:eastAsia="Open Sans" w:hAnsi="Open Sans" w:cs="Open Sans"/>
          <w:b/>
          <w:bCs/>
          <w:caps/>
          <w:bdr w:val="none" w:sz="0" w:space="0" w:color="auto"/>
          <w:vertAlign w:val="baseline"/>
        </w:rPr>
      </w:pPr>
    </w:p>
    <w:sectPr>
      <w:pgSz w:w="12240" w:h="15840"/>
      <w:pgMar w:top="460" w:right="460" w:bottom="460" w:left="46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C8F2B7D6-49B9-4A8A-9413-AED91DA263E7}"/>
    <w:embedBold r:id="rId2" w:fontKey="{C841F64E-81FD-46E1-AB01-6E980BE54339}"/>
    <w:embedItalic r:id="rId3" w:fontKey="{64A0A336-8D8A-4F7E-A948-291158DBA53F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CAA04C"/>
        <w:position w:val="-2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3pagesize">
    <w:name w:val="skn-slo3_pagesize"/>
    <w:basedOn w:val="Normal"/>
  </w:style>
  <w:style w:type="character" w:customStyle="1" w:styleId="skn-slo3top-sectionleft-box">
    <w:name w:val="skn-slo3_top-section_left-box"/>
    <w:basedOn w:val="DefaultParagraphFont"/>
  </w:style>
  <w:style w:type="character" w:customStyle="1" w:styleId="skn-slo3top-sectionright-box">
    <w:name w:val="skn-slo3_top-section_right-box"/>
    <w:basedOn w:val="DefaultParagraphFont"/>
  </w:style>
  <w:style w:type="paragraph" w:customStyle="1" w:styleId="skn-slo3firstsection">
    <w:name w:val="skn-slo3_firstsection"/>
    <w:basedOn w:val="Normal"/>
  </w:style>
  <w:style w:type="paragraph" w:customStyle="1" w:styleId="skn-slo3firstparagraph">
    <w:name w:val="skn-slo3_firstparagraph"/>
    <w:basedOn w:val="Normal"/>
  </w:style>
  <w:style w:type="paragraph" w:customStyle="1" w:styleId="skn-slo3txt-caps">
    <w:name w:val="skn-slo3_txt-caps"/>
    <w:basedOn w:val="Normal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character" w:customStyle="1" w:styleId="skn-slo3txt-capsCharacter">
    <w:name w:val="skn-slo3_txt-caps Character"/>
    <w:basedOn w:val="DefaultParagraphFont"/>
    <w:rPr>
      <w:caps/>
    </w:rPr>
  </w:style>
  <w:style w:type="paragraph" w:customStyle="1" w:styleId="skn-slo3cntc-sec">
    <w:name w:val="skn-slo3_cntc-sec"/>
    <w:basedOn w:val="Normal"/>
  </w:style>
  <w:style w:type="paragraph" w:customStyle="1" w:styleId="skn-slo3right-boxcntc-secparagraph">
    <w:name w:val="skn-slo3_right-box_cntc-sec_paragraph"/>
    <w:basedOn w:val="Normal"/>
    <w:pPr>
      <w:spacing w:line="400" w:lineRule="atLeast"/>
    </w:pPr>
  </w:style>
  <w:style w:type="paragraph" w:customStyle="1" w:styleId="skn-slo3address">
    <w:name w:val="skn-slo3_address"/>
    <w:basedOn w:val="Normal"/>
  </w:style>
  <w:style w:type="character" w:customStyle="1" w:styleId="skn-slo3ulli">
    <w:name w:val="skn-slo3_ul_li"/>
    <w:basedOn w:val="DefaultParagraphFont"/>
  </w:style>
  <w:style w:type="character" w:customStyle="1" w:styleId="spacebeforebulletcntc">
    <w:name w:val="spacebefore_bullet_cntc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bluebullet">
    <w:name w:val="bluebullet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spanempty">
    <w:name w:val="skn-slo3_span_empty"/>
    <w:basedOn w:val="DefaultParagraphFont"/>
    <w:rPr>
      <w:vanish/>
    </w:rPr>
  </w:style>
  <w:style w:type="character" w:customStyle="1" w:styleId="skn-slo3ullinth-last-child1">
    <w:name w:val="skn-slo3_ul_li_nth-last-child(1)"/>
    <w:basedOn w:val="DefaultParagraphFont"/>
  </w:style>
  <w:style w:type="character" w:customStyle="1" w:styleId="skn-slo3addressCharacter">
    <w:name w:val="skn-slo3_address Character"/>
    <w:basedOn w:val="DefaultParagraphFont"/>
  </w:style>
  <w:style w:type="table" w:customStyle="1" w:styleId="skn-slo3top-section">
    <w:name w:val="skn-slo3_top-section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top-sectionparent-containersectionnth-child1">
    <w:name w:val="skn-slo3_top-section + parent-container_section_nth-child(1)"/>
    <w:basedOn w:val="Normal"/>
  </w:style>
  <w:style w:type="paragraph" w:customStyle="1" w:styleId="skn-slo3heading">
    <w:name w:val="skn-slo3_heading"/>
    <w:basedOn w:val="Normal"/>
    <w:rPr>
      <w:b/>
      <w:bCs/>
      <w:caps/>
    </w:rPr>
  </w:style>
  <w:style w:type="paragraph" w:customStyle="1" w:styleId="skn-slo3section-title">
    <w:name w:val="skn-slo3_section-title"/>
    <w:basedOn w:val="Normal"/>
    <w:pPr>
      <w:spacing w:line="340" w:lineRule="atLeast"/>
    </w:pPr>
    <w:rPr>
      <w:color w:val="CAA04C"/>
      <w:sz w:val="24"/>
      <w:szCs w:val="24"/>
    </w:rPr>
  </w:style>
  <w:style w:type="paragraph" w:customStyle="1" w:styleId="skn-slo3singlecolumn">
    <w:name w:val="skn-slo3_singlecolumn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3cmn-sec">
    <w:name w:val="skn-slo3_cmn-sec"/>
    <w:basedOn w:val="Normal"/>
  </w:style>
  <w:style w:type="paragraph" w:customStyle="1" w:styleId="skn-slo3cmn-secheading">
    <w:name w:val="skn-slo3_cmn-sec_heading"/>
    <w:basedOn w:val="Normal"/>
  </w:style>
  <w:style w:type="paragraph" w:customStyle="1" w:styleId="skn-slo3cmn-secparagraph">
    <w:name w:val="skn-slo3_cmn-sec_paragraph"/>
    <w:basedOn w:val="Normal"/>
    <w:pPr>
      <w:pBdr>
        <w:left w:val="none" w:sz="0" w:space="18" w:color="auto"/>
      </w:pBdr>
      <w:spacing w:line="300" w:lineRule="atLeast"/>
    </w:pPr>
    <w:rPr>
      <w:sz w:val="20"/>
      <w:szCs w:val="20"/>
    </w:rPr>
  </w:style>
  <w:style w:type="paragraph" w:customStyle="1" w:styleId="skn-slo3ullinth-last-child1Paragraph">
    <w:name w:val="skn-slo3_ul_li_nth-last-child(1) Paragraph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slo3cmn-secparagraphnth-last-child2">
    <w:name w:val="skn-slo3_cmn-sec_paragraph_nth-last-child(2)"/>
    <w:basedOn w:val="Normal"/>
  </w:style>
  <w:style w:type="paragraph" w:customStyle="1" w:styleId="skn-slo3cmn-secparagraphnth-last-child1">
    <w:name w:val="skn-slo3_cmn-sec_paragraph_nth-last-child(1)"/>
    <w:basedOn w:val="Normal"/>
  </w:style>
  <w:style w:type="paragraph" w:customStyle="1" w:styleId="skn-slo3section">
    <w:name w:val="skn-slo3_section"/>
    <w:basedOn w:val="Normal"/>
  </w:style>
  <w:style w:type="character" w:customStyle="1" w:styleId="skn-slo3sectionexpr-secparlrColmntimeline-svg">
    <w:name w:val="skn-slo3_section_expr-sec_parlrColmn_timeline-svg"/>
    <w:basedOn w:val="DefaultParagraphFont"/>
  </w:style>
  <w:style w:type="character" w:customStyle="1" w:styleId="skn-slo3sectionexpr-secparlrColmnsinglecolumn">
    <w:name w:val="skn-slo3_section_expr-sec_parlrColmn_singlecolumn"/>
    <w:basedOn w:val="DefaultParagraphFont"/>
  </w:style>
  <w:style w:type="paragraph" w:customStyle="1" w:styleId="skn-slo3disp-block">
    <w:name w:val="skn-slo3_disp-block"/>
    <w:basedOn w:val="Normal"/>
  </w:style>
  <w:style w:type="character" w:customStyle="1" w:styleId="spacebeforecomp">
    <w:name w:val="space_before_comp"/>
    <w:basedOn w:val="DefaultParagraphFont"/>
    <w:rPr>
      <w:rFonts w:ascii="Arial" w:eastAsia="Arial" w:hAnsi="Arial" w:cs="Arial"/>
      <w:sz w:val="20"/>
      <w:szCs w:val="20"/>
    </w:rPr>
  </w:style>
  <w:style w:type="character" w:customStyle="1" w:styleId="skn-slo3color-support">
    <w:name w:val="skn-slo3_color-support"/>
    <w:basedOn w:val="DefaultParagraphFont"/>
    <w:rPr>
      <w:color w:val="CAA04C"/>
    </w:rPr>
  </w:style>
  <w:style w:type="character" w:customStyle="1" w:styleId="skn-slo3sectionexpr-sectbl-uppertbl-leftinner">
    <w:name w:val="skn-slo3_section_expr-sec_tbl-upper_tbl-leftinner"/>
    <w:basedOn w:val="DefaultParagraphFont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slo3sectionexpr-sectbl-upperpaddingcell">
    <w:name w:val="skn-slo3_section_expr-sec_tbl-upper_paddingcell"/>
    <w:basedOn w:val="DefaultParagraphFont"/>
  </w:style>
  <w:style w:type="character" w:customStyle="1" w:styleId="skn-slo3sectionexpr-sectbl-uppertbl-inner">
    <w:name w:val="skn-slo3_section_expr-sec_tbl-upper_tbl-inner"/>
    <w:basedOn w:val="DefaultParagraphFont"/>
  </w:style>
  <w:style w:type="character" w:customStyle="1" w:styleId="skn-slo3txt-itl">
    <w:name w:val="skn-slo3_txt-itl"/>
    <w:basedOn w:val="DefaultParagraphFont"/>
    <w:rPr>
      <w:i/>
      <w:iCs/>
    </w:rPr>
  </w:style>
  <w:style w:type="table" w:customStyle="1" w:styleId="skn-slo3sectionexpr-sectbl-upper">
    <w:name w:val="skn-slo3_section_expr-sec_tbl-upper"/>
    <w:basedOn w:val="TableNormal"/>
    <w:tblPr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skn-slo3ulliParagraph">
    <w:name w:val="skn-slo3_ul_li Paragraph"/>
    <w:basedOn w:val="Normal"/>
  </w:style>
  <w:style w:type="table" w:customStyle="1" w:styleId="skn-slo3sectionexpr-secparlrColmn">
    <w:name w:val="skn-slo3_section_expr-sec_parlrColmn"/>
    <w:basedOn w:val="TableNormal"/>
    <w:tblPr/>
  </w:style>
  <w:style w:type="character" w:customStyle="1" w:styleId="skn-slo3sectionexpr-secparlrColmnparagraphnth-last-child1timeline-svg">
    <w:name w:val="skn-slo3_section_expr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xpr-secparlrColmnparagraphnth-last-child1singlecolumn">
    <w:name w:val="skn-slo3_section_expr-sec_parlrColmn_paragraph_nth-last-child(1)_singlecolumn"/>
    <w:basedOn w:val="DefaultParagraphFont"/>
  </w:style>
  <w:style w:type="character" w:customStyle="1" w:styleId="skn-slo3sectionedu-secparlrColmntimeline-svg">
    <w:name w:val="skn-slo3_section_edu-sec_parlrColmn_timeline-svg"/>
    <w:basedOn w:val="DefaultParagraphFont"/>
  </w:style>
  <w:style w:type="character" w:customStyle="1" w:styleId="skn-slo3sectionedu-secparlrColmnsinglecolumn">
    <w:name w:val="skn-slo3_section_edu-sec_parlrColmn_singlecolumn"/>
    <w:basedOn w:val="DefaultParagraphFont"/>
  </w:style>
  <w:style w:type="character" w:customStyle="1" w:styleId="skn-slo3edu-secparagraphsinglecolumnedu-headerfield-groupfield-group-leftCell">
    <w:name w:val="skn-slo3_edu-sec_paragraph_singlecolumn_edu-header_field-group_field-group-leftCell"/>
    <w:basedOn w:val="DefaultParagraphFont"/>
  </w:style>
  <w:style w:type="character" w:customStyle="1" w:styleId="skn-slo3edu-seccmn-title">
    <w:name w:val="skn-slo3_edu-sec_cmn-title"/>
    <w:basedOn w:val="DefaultParagraphFont"/>
  </w:style>
  <w:style w:type="character" w:customStyle="1" w:styleId="skn-slo3edu-secparagraphsinglecolumnedu-headerfield-grouppaddingcell">
    <w:name w:val="skn-slo3_edu-sec_paragraph_singlecolumn_edu-header_field-group_paddingcell"/>
    <w:basedOn w:val="DefaultParagraphFont"/>
  </w:style>
  <w:style w:type="paragraph" w:customStyle="1" w:styleId="skn-slo3edu-secparagraphsinglecolumnedu-headerfield-grouppaddingcellParagraph">
    <w:name w:val="skn-slo3_edu-sec_paragraph_singlecolumn_edu-header_field-group_paddingcell Paragraph"/>
    <w:basedOn w:val="Normal"/>
  </w:style>
  <w:style w:type="character" w:customStyle="1" w:styleId="skn-slo3edu-secparagraphsinglecolumnedu-headerfield-groupfield-group-rightCell">
    <w:name w:val="skn-slo3_edu-sec_paragraph_singlecolumn_edu-header_field-group_field-group-rightCell"/>
    <w:basedOn w:val="DefaultParagraphFont"/>
  </w:style>
  <w:style w:type="character" w:customStyle="1" w:styleId="skn-slo3spce-beforegpa">
    <w:name w:val="skn-slo3_spce-beforegpa"/>
    <w:basedOn w:val="DefaultParagraphFont"/>
    <w:rPr>
      <w:sz w:val="20"/>
      <w:szCs w:val="20"/>
    </w:rPr>
  </w:style>
  <w:style w:type="table" w:customStyle="1" w:styleId="skn-slo3edu-secparagraphsinglecolumnedu-headerfield-group">
    <w:name w:val="skn-slo3_edu-sec_paragraph_singlecolumn_edu-header_field-group"/>
    <w:basedOn w:val="TableNormal"/>
    <w:tblPr/>
  </w:style>
  <w:style w:type="character" w:customStyle="1" w:styleId="skn-slo3tbl-leftinner">
    <w:name w:val="skn-slo3_tbl-leftinner"/>
    <w:basedOn w:val="DefaultParagraphFont"/>
  </w:style>
  <w:style w:type="character" w:customStyle="1" w:styleId="skn-slo3txt-bold">
    <w:name w:val="skn-slo3_txt-bold"/>
    <w:basedOn w:val="DefaultParagraphFont"/>
    <w:rPr>
      <w:b/>
      <w:bCs/>
    </w:rPr>
  </w:style>
  <w:style w:type="character" w:customStyle="1" w:styleId="skn-slo3edu-secparagraphsinglecolumnedu-headerfield-groupfield-group-rightCellfield-group-rightCell-stillenrolled">
    <w:name w:val="skn-slo3_edu-sec_paragraph_singlecolumn_edu-header_field-group_field-group-rightCell_field-group-rightCell-stillenrolled"/>
    <w:basedOn w:val="DefaultParagraphFont"/>
  </w:style>
  <w:style w:type="table" w:customStyle="1" w:styleId="skn-slo3sectionedu-secparlrColmn">
    <w:name w:val="skn-slo3_section_edu-sec_parlrColmn"/>
    <w:basedOn w:val="TableNormal"/>
    <w:tblPr/>
  </w:style>
  <w:style w:type="character" w:customStyle="1" w:styleId="skn-slo3sectionedu-secparlrColmnparagraphnth-last-child1timeline-svg">
    <w:name w:val="skn-slo3_section_edu-sec_parlrColmn_paragraph_nth-last-child(1)_timeline-svg"/>
    <w:basedOn w:val="DefaultParagraphFont"/>
    <w:rPr>
      <w:bdr w:val="none" w:sz="0" w:space="0" w:color="auto"/>
    </w:rPr>
  </w:style>
  <w:style w:type="character" w:customStyle="1" w:styleId="skn-slo3sectionedu-secparlrColmnparagraphnth-last-child1singlecolumn">
    <w:name w:val="skn-slo3_section_edu-sec_parlrColmn_paragraph_nth-last-child(1)_singlecolumn"/>
    <w:basedOn w:val="DefaultParagraphFont"/>
  </w:style>
  <w:style w:type="paragraph" w:customStyle="1" w:styleId="skn-slo3reference-sec">
    <w:name w:val="skn-slo3_reference-sec"/>
    <w:basedOn w:val="Normal"/>
  </w:style>
  <w:style w:type="paragraph" w:customStyle="1" w:styleId="skn-slo3reference-secheading">
    <w:name w:val="skn-slo3_reference-sec_heading"/>
    <w:basedOn w:val="Normal"/>
  </w:style>
  <w:style w:type="character" w:customStyle="1" w:styleId="skn-slo3reference-secparagraphnth-last-child1">
    <w:name w:val="skn-slo3_reference-sec_paragraph_nth-last-child(1)"/>
    <w:basedOn w:val="DefaultParagraphFont"/>
  </w:style>
  <w:style w:type="table" w:customStyle="1" w:styleId="skn-slo3sectionreference-secrefparatable">
    <w:name w:val="skn-slo3_section_reference-sec_ref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Rakesh Mahajan</dc:title>
  <cp:revision>0</cp:revision>
</cp:coreProperties>
</file>