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3top-section"/>
        <w:tblW w:w="0" w:type="auto"/>
        <w:tblCellSpacing w:w="0" w:type="dxa"/>
        <w:tblLayout w:type="fixed"/>
        <w:tblCellMar>
          <w:top w:w="0" w:type="dxa"/>
          <w:left w:w="0" w:type="dxa"/>
          <w:bottom w:w="400" w:type="dxa"/>
          <w:right w:w="0" w:type="dxa"/>
        </w:tblCellMar>
        <w:tblLook w:val="05E0"/>
      </w:tblPr>
      <w:tblGrid>
        <w:gridCol w:w="11320"/>
      </w:tblGrid>
      <w:tr>
        <w:tblPrEx>
          <w:tblW w:w="0" w:type="auto"/>
          <w:tblCellSpacing w:w="0" w:type="dxa"/>
          <w:tblLayout w:type="fixed"/>
          <w:tblCellMar>
            <w:top w:w="0" w:type="dxa"/>
            <w:left w:w="0" w:type="dxa"/>
            <w:bottom w:w="400" w:type="dxa"/>
            <w:right w:w="0" w:type="dxa"/>
          </w:tblCellMar>
          <w:tblLook w:val="05E0"/>
        </w:tblPrEx>
        <w:trPr>
          <w:tblCellSpacing w:w="0" w:type="dxa"/>
        </w:trPr>
        <w:tc>
          <w:tcPr>
            <w:tcW w:w="11320" w:type="dxa"/>
            <w:tcMar>
              <w:top w:w="0" w:type="dxa"/>
              <w:left w:w="0" w:type="dxa"/>
              <w:bottom w:w="400" w:type="dxa"/>
              <w:right w:w="0" w:type="dxa"/>
            </w:tcMar>
            <w:vAlign w:val="top"/>
            <w:hideMark/>
          </w:tcPr>
          <w:p>
            <w:pPr>
              <w:pStyle w:val="skn-slo3txt-caps"/>
              <w:pBdr>
                <w:top w:val="none" w:sz="0" w:space="0" w:color="auto"/>
                <w:left w:val="none" w:sz="0" w:space="0" w:color="auto"/>
                <w:bottom w:val="none" w:sz="0" w:space="0" w:color="auto"/>
                <w:right w:val="none" w:sz="0" w:space="0" w:color="auto"/>
              </w:pBdr>
              <w:spacing w:before="0" w:after="0" w:line="640" w:lineRule="atLeast"/>
              <w:ind w:left="0" w:right="0"/>
              <w:rPr>
                <w:rStyle w:val="skn-slo3top-sectionright-box"/>
                <w:rFonts w:ascii="Open Sans" w:eastAsia="Open Sans" w:hAnsi="Open Sans" w:cs="Open Sans"/>
                <w:b/>
                <w:bCs/>
                <w:caps/>
                <w:color w:val="050505"/>
                <w:sz w:val="48"/>
                <w:szCs w:val="48"/>
                <w:bdr w:val="none" w:sz="0" w:space="0" w:color="auto"/>
                <w:vertAlign w:val="baseline"/>
              </w:rPr>
            </w:pPr>
            <w:r>
              <w:rPr>
                <w:rStyle w:val="span"/>
                <w:rFonts w:ascii="Open Sans" w:eastAsia="Open Sans" w:hAnsi="Open Sans" w:cs="Open Sans"/>
                <w:b/>
                <w:bCs/>
                <w:caps/>
                <w:color w:val="050505"/>
                <w:sz w:val="48"/>
                <w:szCs w:val="48"/>
              </w:rPr>
              <w:t>Meera</w:t>
            </w:r>
            <w:r>
              <w:rPr>
                <w:rStyle w:val="skn-slo3top-sectionright-box"/>
                <w:rFonts w:ascii="Open Sans" w:eastAsia="Open Sans" w:hAnsi="Open Sans" w:cs="Open Sans"/>
                <w:b/>
                <w:bCs/>
                <w:caps/>
                <w:color w:val="050505"/>
                <w:sz w:val="48"/>
                <w:szCs w:val="48"/>
                <w:bdr w:val="none" w:sz="0" w:space="0" w:color="auto"/>
                <w:vertAlign w:val="baseline"/>
              </w:rPr>
              <w:t xml:space="preserve"> </w:t>
            </w:r>
            <w:r>
              <w:rPr>
                <w:rStyle w:val="span"/>
                <w:rFonts w:ascii="Open Sans" w:eastAsia="Open Sans" w:hAnsi="Open Sans" w:cs="Open Sans"/>
                <w:b/>
                <w:bCs/>
                <w:caps/>
                <w:color w:val="050505"/>
                <w:sz w:val="48"/>
                <w:szCs w:val="48"/>
              </w:rPr>
              <w:t>Kulkarni</w:t>
            </w:r>
          </w:p>
          <w:p>
            <w:pPr>
              <w:pStyle w:val="skn-slo3txt-caps"/>
              <w:pBdr>
                <w:top w:val="none" w:sz="0" w:space="0" w:color="auto"/>
                <w:left w:val="none" w:sz="0" w:space="0" w:color="auto"/>
                <w:bottom w:val="none" w:sz="0" w:space="0" w:color="auto"/>
                <w:right w:val="none" w:sz="0" w:space="0" w:color="auto"/>
              </w:pBdr>
              <w:spacing w:before="0" w:after="0" w:line="380" w:lineRule="atLeast"/>
              <w:ind w:left="0" w:right="0"/>
              <w:rPr>
                <w:rStyle w:val="skn-slo3top-sectionright-box"/>
                <w:rFonts w:ascii="Open Sans" w:eastAsia="Open Sans" w:hAnsi="Open Sans" w:cs="Open Sans"/>
                <w:b/>
                <w:bCs/>
                <w:caps/>
                <w:color w:val="050505"/>
                <w:sz w:val="28"/>
                <w:szCs w:val="28"/>
                <w:bdr w:val="none" w:sz="0" w:space="0" w:color="auto"/>
                <w:vertAlign w:val="baseline"/>
              </w:rPr>
            </w:pPr>
            <w:r>
              <w:rPr>
                <w:rStyle w:val="span"/>
                <w:rFonts w:ascii="Open Sans" w:eastAsia="Open Sans" w:hAnsi="Open Sans" w:cs="Open Sans"/>
                <w:b/>
                <w:bCs/>
                <w:caps/>
                <w:color w:val="050505"/>
                <w:sz w:val="28"/>
                <w:szCs w:val="28"/>
              </w:rPr>
              <w:t>Director of Nursing</w:t>
            </w:r>
          </w:p>
          <w:p>
            <w:pPr>
              <w:pBdr>
                <w:top w:val="none" w:sz="0" w:space="0" w:color="auto"/>
                <w:left w:val="none" w:sz="0" w:space="0" w:color="auto"/>
                <w:bottom w:val="none" w:sz="0" w:space="0" w:color="auto"/>
                <w:right w:val="none" w:sz="0" w:space="0" w:color="auto"/>
              </w:pBdr>
              <w:spacing w:after="0" w:line="6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 </w:t>
            </w:r>
            <w:r>
              <w:rPr>
                <w:rStyle w:val="skn-slo3top-sectionright-box"/>
                <w:rFonts w:ascii="Open Sans" w:eastAsia="Open Sans" w:hAnsi="Open Sans" w:cs="Open Sans"/>
                <w:color w:val="050505"/>
                <w:sz w:val="20"/>
                <w:szCs w:val="20"/>
                <w:bdr w:val="none" w:sz="0" w:space="0" w:color="auto"/>
                <w:vertAlign w:val="baseline"/>
              </w:rPr>
              <w:drawing>
                <wp:inline>
                  <wp:extent cx="7598560" cy="13318"/>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598560" cy="13318"/>
                          </a:xfrm>
                          <a:prstGeom prst="rect">
                            <a:avLst/>
                          </a:prstGeom>
                        </pic:spPr>
                      </pic:pic>
                    </a:graphicData>
                  </a:graphic>
                </wp:inline>
              </w:drawing>
            </w:r>
          </w:p>
          <w:p>
            <w:pPr>
              <w:pBdr>
                <w:top w:val="none" w:sz="0" w:space="0" w:color="auto"/>
                <w:left w:val="none" w:sz="0" w:space="0" w:color="auto"/>
                <w:bottom w:val="none" w:sz="0" w:space="0" w:color="auto"/>
                <w:right w:val="none" w:sz="0" w:space="0" w:color="auto"/>
              </w:pBdr>
              <w:spacing w:line="40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+91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98765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43210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top-sectionright-box"/>
                <w:rFonts w:ascii="Open Sans" w:eastAsia="Open Sans" w:hAnsi="Open Sans" w:cs="Open Sans"/>
                <w:color w:val="050505"/>
                <w:sz w:val="20"/>
                <w:szCs w:val="20"/>
                <w:bdr w:val="none" w:sz="0" w:space="0" w:color="auto"/>
                <w:vertAlign w:val="baseline"/>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8240" behindDoc="0" locked="0" layoutInCell="1" allowOverlap="1">
                  <wp:simplePos x="0" y="0"/>
                  <wp:positionH relativeFrom="character">
                    <wp:posOffset>0</wp:posOffset>
                  </wp:positionH>
                  <wp:positionV relativeFrom="line">
                    <wp:posOffset>120689</wp:posOffset>
                  </wp:positionV>
                  <wp:extent cx="64041" cy="102158"/>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meera.kulkarni@example.com</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9264" behindDoc="0" locked="0" layoutInCell="1" allowOverlap="1">
                  <wp:simplePos x="0" y="0"/>
                  <wp:positionH relativeFrom="character">
                    <wp:posOffset>0</wp:posOffset>
                  </wp:positionH>
                  <wp:positionV relativeFrom="line">
                    <wp:posOffset>120689</wp:posOffset>
                  </wp:positionV>
                  <wp:extent cx="64041"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Maharashtra</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411045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drawing>
                <wp:anchor simplePos="0" relativeHeight="251660288" behindDoc="0" locked="0" layoutInCell="1" allowOverlap="1">
                  <wp:simplePos x="0" y="0"/>
                  <wp:positionH relativeFrom="character">
                    <wp:posOffset>0</wp:posOffset>
                  </wp:positionH>
                  <wp:positionV relativeFrom="line">
                    <wp:posOffset>120689</wp:posOffset>
                  </wp:positionV>
                  <wp:extent cx="64041"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nth-last-child1"/>
                <w:rFonts w:ascii="Open Sans" w:eastAsia="Open Sans" w:hAnsi="Open Sans" w:cs="Open Sans"/>
                <w:color w:val="050505"/>
                <w:sz w:val="20"/>
                <w:szCs w:val="20"/>
              </w:rPr>
              <w:t> </w:t>
            </w:r>
            <w:r>
              <w:rPr>
                <w:rStyle w:val="span"/>
                <w:rFonts w:ascii="Open Sans" w:eastAsia="Open Sans" w:hAnsi="Open Sans" w:cs="Open Sans"/>
                <w:color w:val="050505"/>
                <w:sz w:val="20"/>
                <w:szCs w:val="20"/>
              </w:rPr>
              <w:t>12</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March</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1978</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nth-last-child1"/>
                <w:rFonts w:ascii="Open Sans" w:eastAsia="Open Sans" w:hAnsi="Open Sans" w:cs="Open Sans"/>
                <w:color w:val="050505"/>
                <w:sz w:val="20"/>
                <w:szCs w:val="20"/>
              </w:rPr>
              <w:t xml:space="preserve"> </w:t>
            </w:r>
          </w:p>
        </w:tc>
      </w:tr>
    </w:tbl>
    <w:p>
      <w:pPr>
        <w:pStyle w:val="skn-slo3section-title"/>
        <w:pBdr>
          <w:top w:val="none" w:sz="0" w:space="0" w:color="auto"/>
          <w:left w:val="none" w:sz="0" w:space="0" w:color="auto"/>
          <w:bottom w:val="none" w:sz="0" w:space="0" w:color="auto"/>
          <w:right w:val="none" w:sz="0" w:space="0" w:color="auto"/>
        </w:pBdr>
        <w:spacing w:before="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Accomplished nursing leader with extensive experience in clinical governance, workforce planning, and policy development. Proven ability to enhance patient safety and lead interdepartmental teams in achieving hospital accreditation standards. Eager to leverage expertise as Director of Nursing to drive strategic initiatives and elevate nursing practices.</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Skills</w:t>
      </w:r>
    </w:p>
    <w:tbl>
      <w:tblPr>
        <w:tblW w:w="10860" w:type="dxa"/>
        <w:jc w:val="left"/>
        <w:tblInd w:w="460" w:type="dxa"/>
        <w:tblCellMar>
          <w:left w:w="108" w:type="dxa"/>
          <w:right w:w="108" w:type="dxa"/>
        </w:tblCellMar>
      </w:tblPr>
      <w:tblGrid>
        <w:gridCol w:w="5031"/>
        <w:gridCol w:w="776"/>
        <w:gridCol w:w="5053"/>
      </w:tblGrid>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1"/>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Nursing Administration</w:t>
            </w:r>
          </w:p>
        </w:tc>
        <w:tc>
          <w:tcPr>
            <w:tcW w:w="600" w:type="dxa"/>
            <w:tcMar>
              <w:bottom w:w="100" w:type="dxa"/>
            </w:tcMar>
          </w:tcPr>
          <w:p/>
        </w:tc>
        <w:tc>
          <w:tcPr>
            <w:tcW w:w="5130" w:type="dxa"/>
            <w:tcMar>
              <w:left w:w="0" w:type="dxa"/>
            </w:tcMar>
          </w:tcPr>
          <w:p>
            <w:pPr>
              <w:pStyle w:val="p"/>
              <w:numPr>
                <w:ilvl w:val="0"/>
                <w:numId w:val="2"/>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Clinical Governance</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3"/>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Patient Safety Management</w:t>
            </w:r>
          </w:p>
        </w:tc>
        <w:tc>
          <w:tcPr>
            <w:tcW w:w="600" w:type="dxa"/>
            <w:tcMar>
              <w:bottom w:w="100" w:type="dxa"/>
            </w:tcMar>
          </w:tcPr>
          <w:p/>
        </w:tc>
        <w:tc>
          <w:tcPr>
            <w:tcW w:w="5130" w:type="dxa"/>
            <w:tcMar>
              <w:left w:w="0" w:type="dxa"/>
            </w:tcMar>
          </w:tcPr>
          <w:p>
            <w:pPr>
              <w:pStyle w:val="p"/>
              <w:numPr>
                <w:ilvl w:val="0"/>
                <w:numId w:val="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Workforce Planning</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Policy Development</w:t>
            </w:r>
          </w:p>
        </w:tc>
        <w:tc>
          <w:tcPr>
            <w:tcW w:w="600" w:type="dxa"/>
            <w:tcMar>
              <w:bottom w:w="100" w:type="dxa"/>
            </w:tcMar>
          </w:tcPr>
          <w:p/>
        </w:tc>
        <w:tc>
          <w:tcPr>
            <w:tcW w:w="5130" w:type="dxa"/>
            <w:tcMar>
              <w:left w:w="0" w:type="dxa"/>
            </w:tcMar>
          </w:tcPr>
          <w:p>
            <w:pPr>
              <w:pStyle w:val="p"/>
              <w:numPr>
                <w:ilvl w:val="0"/>
                <w:numId w:val="6"/>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Quality Audits</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7"/>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Staff Training Programs</w:t>
            </w:r>
          </w:p>
        </w:tc>
        <w:tc>
          <w:tcPr>
            <w:tcW w:w="600" w:type="dxa"/>
            <w:tcMar>
              <w:bottom w:w="100" w:type="dxa"/>
            </w:tcMar>
          </w:tcPr>
          <w:p/>
        </w:tc>
        <w:tc>
          <w:tcPr>
            <w:tcW w:w="5130" w:type="dxa"/>
            <w:tcMar>
              <w:left w:w="0" w:type="dxa"/>
            </w:tcMar>
          </w:tcPr>
          <w:p>
            <w:pPr>
              <w:pStyle w:val="p"/>
              <w:numPr>
                <w:ilvl w:val="0"/>
                <w:numId w:val="8"/>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Hospital Accreditation Support</w:t>
            </w:r>
          </w:p>
        </w:tc>
      </w:tr>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9"/>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Budget Coordination</w:t>
            </w:r>
          </w:p>
        </w:tc>
        <w:tc>
          <w:tcPr>
            <w:tcW w:w="600" w:type="dxa"/>
            <w:tcMar>
              <w:bottom w:w="0" w:type="dxa"/>
            </w:tcMar>
          </w:tcPr>
          <w:p/>
        </w:tc>
        <w:tc>
          <w:tcPr>
            <w:tcW w:w="5130" w:type="dxa"/>
            <w:tcMar>
              <w:left w:w="0" w:type="dxa"/>
              <w:bottom w:w="0" w:type="dxa"/>
            </w:tcMar>
          </w:tcPr>
          <w:p>
            <w:pPr>
              <w:pStyle w:val="p"/>
              <w:numPr>
                <w:ilvl w:val="0"/>
                <w:numId w:val="10"/>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Interdepartmental Leadership</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Experience</w:t>
      </w: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1312" behindDoc="0" locked="0" layoutInCell="1" allowOverlap="1">
                  <wp:simplePos x="0" y="0"/>
                  <wp:positionH relativeFrom="column">
                    <wp:posOffset>-50800</wp:posOffset>
                  </wp:positionH>
                  <wp:positionV relativeFrom="paragraph">
                    <wp:posOffset>-25400</wp:posOffset>
                  </wp:positionV>
                  <wp:extent cx="89410" cy="19099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Director of Nursing</w:t>
            </w:r>
            <w:r>
              <w:rPr>
                <w:rStyle w:val="spacebeforecomp"/>
                <w:color w:val="050505"/>
              </w:rPr>
              <w:t>  </w:t>
            </w:r>
            <w:r>
              <w:rPr>
                <w:rStyle w:val="skn-slo3color-support"/>
                <w:rFonts w:ascii="Open Sans" w:eastAsia="Open Sans" w:hAnsi="Open Sans" w:cs="Open Sans"/>
                <w:sz w:val="20"/>
                <w:szCs w:val="20"/>
              </w:rPr>
              <w:t>Apollo Hospitals</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Pune</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July 2018</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Present</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Provide strategic direction for nursing operations across departments ensuring consistent patient care and regulatory compliance.</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Lead senior nursing managers and oversee staffing, budgeting coordination, and long-term workforce planning initiatives.</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Develop nursing policies aligned with NABH standards and hospital clinical governance frameworks.</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Monitor patient safety indicators and implement corrective actions to reduce adverse clinical incidents.</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Coordinate with medical directors to align nursing practices with evolving treatment protocols.</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Review quality audit findings and ensure timely closure of nursing-related non-compliance issues.</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nth-last-child1Paragraph"/>
                    <w:numPr>
                      <w:ilvl w:val="0"/>
                      <w:numId w:val="11"/>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Guide leadership development programs for nurse managers and high-potential nursing staff.</w:t>
                  </w:r>
                </w:p>
              </w:tc>
              <w:tc>
                <w:tcPr>
                  <w:tcW w:w="600" w:type="dxa"/>
                  <w:tcMar>
                    <w:bottom w:w="0" w:type="dxa"/>
                  </w:tcMar>
                </w:tcPr>
                <w:p/>
              </w:tc>
              <w:tc>
                <w:tcPr>
                  <w:tcW w:w="5115" w:type="dxa"/>
                  <w:tcMar>
                    <w:bottom w:w="0" w:type="dxa"/>
                  </w:tcMar>
                </w:tcP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2336" behindDoc="0" locked="0" layoutInCell="1" allowOverlap="1">
                  <wp:simplePos x="0" y="0"/>
                  <wp:positionH relativeFrom="column">
                    <wp:posOffset>-50800</wp:posOffset>
                  </wp:positionH>
                  <wp:positionV relativeFrom="paragraph">
                    <wp:posOffset>25400</wp:posOffset>
                  </wp:positionV>
                  <wp:extent cx="89410" cy="12754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Deputy Director of Nursing</w:t>
            </w:r>
            <w:r>
              <w:rPr>
                <w:rStyle w:val="spacebeforecomp"/>
                <w:color w:val="050505"/>
              </w:rPr>
              <w:t>  </w:t>
            </w:r>
            <w:r>
              <w:rPr>
                <w:rStyle w:val="skn-slo3color-support"/>
                <w:rFonts w:ascii="Open Sans" w:eastAsia="Open Sans" w:hAnsi="Open Sans" w:cs="Open Sans"/>
                <w:sz w:val="20"/>
                <w:szCs w:val="20"/>
              </w:rPr>
              <w:t>Manipal Hospitals</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Pune</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January 2013</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June 2018</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2"/>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Supported Director of Nursing in managing large nursing workforce across inpatient and critical care units.</w:t>
                  </w:r>
                </w:p>
              </w:tc>
              <w:tc>
                <w:tcPr>
                  <w:tcW w:w="600" w:type="dxa"/>
                  <w:tcMar>
                    <w:bottom w:w="100" w:type="dxa"/>
                  </w:tcMar>
                </w:tcPr>
                <w:p/>
              </w:tc>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Supervised nursing education, competency assessments, and continuous professional development programs.</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Ensured compliance with infection control standards through audits, training, and monitoring systems.</w:t>
                  </w:r>
                </w:p>
              </w:tc>
              <w:tc>
                <w:tcPr>
                  <w:tcW w:w="600" w:type="dxa"/>
                  <w:tcMar>
                    <w:bottom w:w="100" w:type="dxa"/>
                  </w:tcMar>
                </w:tcPr>
                <w:p/>
              </w:tc>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Collaborated with HR teams for nurse recruitment, retention planning, and performance evaluations.</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Led hospital accreditation preparations focusing on nursing documentation and clinical practice standards.</w:t>
                  </w:r>
                </w:p>
              </w:tc>
              <w:tc>
                <w:tcPr>
                  <w:tcW w:w="600" w:type="dxa"/>
                  <w:tcMar>
                    <w:bottom w:w="100" w:type="dxa"/>
                  </w:tcMar>
                </w:tcPr>
                <w:p/>
              </w:tc>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Addressed escalated patient grievances related to nursing care and service delivery.</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nth-last-child1Paragraph"/>
                    <w:numPr>
                      <w:ilvl w:val="0"/>
                      <w:numId w:val="12"/>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Analyzed staffing data to optimize nurse-patient ratios across departments.</w:t>
                  </w:r>
                </w:p>
              </w:tc>
              <w:tc>
                <w:tcPr>
                  <w:tcW w:w="600" w:type="dxa"/>
                  <w:tcMar>
                    <w:bottom w:w="0" w:type="dxa"/>
                  </w:tcMar>
                </w:tcPr>
                <w:p/>
              </w:tc>
              <w:tc>
                <w:tcPr>
                  <w:tcW w:w="5115" w:type="dxa"/>
                  <w:tcMar>
                    <w:bottom w:w="0" w:type="dxa"/>
                  </w:tcMar>
                </w:tcP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3360" behindDoc="0" locked="0" layoutInCell="1" allowOverlap="1">
                  <wp:simplePos x="0" y="0"/>
                  <wp:positionH relativeFrom="column">
                    <wp:posOffset>-50800</wp:posOffset>
                  </wp:positionH>
                  <wp:positionV relativeFrom="paragraph">
                    <wp:posOffset>25400</wp:posOffset>
                  </wp:positionV>
                  <wp:extent cx="89410" cy="12754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Nursing Superintendent</w:t>
            </w:r>
            <w:r>
              <w:rPr>
                <w:rStyle w:val="spacebeforecomp"/>
                <w:color w:val="050505"/>
              </w:rPr>
              <w:t>  </w:t>
            </w:r>
            <w:r>
              <w:rPr>
                <w:rStyle w:val="skn-slo3color-support"/>
                <w:rFonts w:ascii="Open Sans" w:eastAsia="Open Sans" w:hAnsi="Open Sans" w:cs="Open Sans"/>
                <w:sz w:val="20"/>
                <w:szCs w:val="20"/>
              </w:rPr>
              <w:t>Ruby Hall Clinic</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Pune</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April 2007</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December 2012</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3"/>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Managed daily nursing operations across wards ensuring smooth coordination between doctors and nursing staff.</w:t>
                  </w:r>
                </w:p>
              </w:tc>
              <w:tc>
                <w:tcPr>
                  <w:tcW w:w="600" w:type="dxa"/>
                  <w:tcMar>
                    <w:bottom w:w="100" w:type="dxa"/>
                  </w:tcMar>
                </w:tcPr>
                <w:p/>
              </w:tc>
              <w:tc>
                <w:tcPr>
                  <w:tcW w:w="5115"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Implemented standardized nursing protocols to improve care consistency and documentation accuracy.</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Supervised duty rosters, leave planning, and shift coverage for large nursing teams.</w:t>
                  </w:r>
                </w:p>
              </w:tc>
              <w:tc>
                <w:tcPr>
                  <w:tcW w:w="600" w:type="dxa"/>
                  <w:tcMar>
                    <w:bottom w:w="100" w:type="dxa"/>
                  </w:tcMar>
                </w:tcPr>
                <w:p/>
              </w:tc>
              <w:tc>
                <w:tcPr>
                  <w:tcW w:w="5115"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Conducted regular ward inspections to maintain hygiene, safety, and patient comfort standards.</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Mentored senior nurses to develop leadership capabilities and operational decision-making skills.</w:t>
                  </w:r>
                </w:p>
              </w:tc>
              <w:tc>
                <w:tcPr>
                  <w:tcW w:w="600" w:type="dxa"/>
                  <w:tcMar>
                    <w:bottom w:w="100" w:type="dxa"/>
                  </w:tcMar>
                </w:tcPr>
                <w:p/>
              </w:tc>
              <w:tc>
                <w:tcPr>
                  <w:tcW w:w="5115"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Investigated nursing-related incidents and implemented preventive corrective measures.</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nth-last-child1Paragraph"/>
                    <w:numPr>
                      <w:ilvl w:val="0"/>
                      <w:numId w:val="13"/>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Coordinated internal audits and supported external quality assessment visits.</w:t>
                  </w:r>
                </w:p>
              </w:tc>
              <w:tc>
                <w:tcPr>
                  <w:tcW w:w="600" w:type="dxa"/>
                  <w:tcMar>
                    <w:bottom w:w="0" w:type="dxa"/>
                  </w:tcMar>
                </w:tcPr>
                <w:p/>
              </w:tc>
              <w:tc>
                <w:tcPr>
                  <w:tcW w:w="5115" w:type="dxa"/>
                  <w:tcMar>
                    <w:bottom w:w="0" w:type="dxa"/>
                  </w:tcMar>
                </w:tcP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paragraphnth-last-child1timeline-svg"/>
                <w:rFonts w:ascii="Open Sans" w:eastAsia="Open Sans" w:hAnsi="Open Sans" w:cs="Open Sans"/>
                <w:color w:val="050505"/>
                <w:sz w:val="20"/>
                <w:szCs w:val="20"/>
                <w:bdr w:val="none" w:sz="0" w:space="0" w:color="auto"/>
                <w:vertAlign w:val="baseline"/>
              </w:rPr>
            </w:pPr>
            <w:r>
              <w:rPr>
                <w:rStyle w:val="skn-slo3sectionexpr-secparlrColmnparagraphnth-last-child1timeline-svg"/>
                <w:rFonts w:ascii="Open Sans" w:eastAsia="Open Sans" w:hAnsi="Open Sans" w:cs="Open Sans"/>
                <w:color w:val="050505"/>
                <w:sz w:val="20"/>
                <w:szCs w:val="20"/>
                <w:bdr w:val="none" w:sz="0" w:space="0" w:color="auto"/>
                <w:vertAlign w:val="baseline"/>
              </w:rPr>
              <w:drawing>
                <wp:anchor simplePos="0" relativeHeight="251664384" behindDoc="0" locked="0" layoutInCell="1" allowOverlap="1">
                  <wp:simplePos x="0" y="0"/>
                  <wp:positionH relativeFrom="column">
                    <wp:posOffset>-50800</wp:posOffset>
                  </wp:positionH>
                  <wp:positionV relativeFrom="paragraph">
                    <wp:posOffset>25400</wp:posOffset>
                  </wp:positionV>
                  <wp:extent cx="89410" cy="12754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p>
            <w:pPr>
              <w:pStyle w:val="skn-slo3disp-block"/>
              <w:spacing w:before="0" w:after="0" w:line="280" w:lineRule="atLeas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Staff Nurse</w:t>
            </w:r>
            <w:r>
              <w:rPr>
                <w:rStyle w:val="spacebeforecomp"/>
                <w:color w:val="050505"/>
              </w:rPr>
              <w:t>  </w:t>
            </w:r>
            <w:r>
              <w:rPr>
                <w:rStyle w:val="skn-slo3color-support"/>
                <w:rFonts w:ascii="Open Sans" w:eastAsia="Open Sans" w:hAnsi="Open Sans" w:cs="Open Sans"/>
                <w:sz w:val="20"/>
                <w:szCs w:val="20"/>
              </w:rPr>
              <w:t>Sahyadri Hospital</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Pune</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June 2004</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March 2007</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 </w:t>
            </w:r>
          </w:p>
          <w:tbl>
            <w:tblPr>
              <w:tblW w:w="10840" w:type="dxa"/>
              <w:jc w:val="left"/>
              <w:tblInd w:w="100" w:type="dxa"/>
              <w:tblLayout w:type="fixed"/>
              <w:tblCellMar>
                <w:left w:w="108" w:type="dxa"/>
                <w:right w:w="108" w:type="dxa"/>
              </w:tblCellMar>
            </w:tblPr>
            <w:tblGrid>
              <w:gridCol w:w="5120"/>
              <w:gridCol w:w="600"/>
              <w:gridCol w:w="5120"/>
            </w:tblGrid>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4"/>
                    </w:numPr>
                    <w:tabs>
                      <w:tab w:val="left" w:pos="400"/>
                    </w:tabs>
                    <w:spacing w:before="0"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Delivered direct patient care including medication administration, monitoring vitals, and assisting procedures.</w:t>
                  </w:r>
                </w:p>
              </w:tc>
              <w:tc>
                <w:tcPr>
                  <w:tcW w:w="600" w:type="dxa"/>
                  <w:tcMar>
                    <w:bottom w:w="100" w:type="dxa"/>
                  </w:tcMar>
                </w:tcPr>
                <w:p/>
              </w:tc>
              <w:tc>
                <w:tcPr>
                  <w:tcW w:w="5120" w:type="dxa"/>
                  <w:tcMar>
                    <w:left w:w="0" w:type="dxa"/>
                  </w:tcMar>
                </w:tcPr>
                <w:p>
                  <w:pPr>
                    <w:pStyle w:val="skn-slo3ulliParagraph"/>
                    <w:numPr>
                      <w:ilvl w:val="0"/>
                      <w:numId w:val="14"/>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Maintained accurate nursing records and ensured timely communication with doctors.</w:t>
                  </w:r>
                </w:p>
              </w:tc>
            </w:tr>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4"/>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Followed infection control protocols while handling patients and medical equipment.</w:t>
                  </w:r>
                </w:p>
              </w:tc>
              <w:tc>
                <w:tcPr>
                  <w:tcW w:w="600" w:type="dxa"/>
                  <w:tcMar>
                    <w:bottom w:w="100" w:type="dxa"/>
                  </w:tcMar>
                </w:tcPr>
                <w:p/>
              </w:tc>
              <w:tc>
                <w:tcPr>
                  <w:tcW w:w="5120" w:type="dxa"/>
                  <w:tcMar>
                    <w:left w:w="0" w:type="dxa"/>
                  </w:tcMar>
                </w:tcPr>
                <w:p>
                  <w:pPr>
                    <w:pStyle w:val="skn-slo3ulliParagraph"/>
                    <w:numPr>
                      <w:ilvl w:val="0"/>
                      <w:numId w:val="14"/>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Supported senior nurses in ward management and emergency response situations.</w:t>
                  </w:r>
                </w:p>
              </w:tc>
            </w:tr>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4"/>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Provided emotional support and patient education during hospital stay.</w:t>
                  </w:r>
                </w:p>
              </w:tc>
              <w:tc>
                <w:tcPr>
                  <w:tcW w:w="600" w:type="dxa"/>
                  <w:tcMar>
                    <w:bottom w:w="100" w:type="dxa"/>
                  </w:tcMar>
                </w:tcPr>
                <w:p/>
              </w:tc>
              <w:tc>
                <w:tcPr>
                  <w:tcW w:w="5120" w:type="dxa"/>
                  <w:tcMar>
                    <w:left w:w="0" w:type="dxa"/>
                  </w:tcMar>
                </w:tcPr>
                <w:p>
                  <w:pPr>
                    <w:pStyle w:val="skn-slo3ulliParagraph"/>
                    <w:numPr>
                      <w:ilvl w:val="0"/>
                      <w:numId w:val="14"/>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Assisted in pre-operative and post-operative nursing care activities.</w:t>
                  </w:r>
                </w:p>
              </w:tc>
            </w:tr>
            <w:tr>
              <w:tblPrEx>
                <w:tblW w:w="10840" w:type="dxa"/>
                <w:jc w:val="left"/>
                <w:tblInd w:w="100" w:type="dxa"/>
                <w:tblLayout w:type="fixed"/>
                <w:tblCellMar>
                  <w:left w:w="108" w:type="dxa"/>
                  <w:right w:w="108" w:type="dxa"/>
                </w:tblCellMar>
              </w:tblPrEx>
              <w:trPr>
                <w:jc w:val="left"/>
              </w:trPr>
              <w:tc>
                <w:tcPr>
                  <w:tcW w:w="5120" w:type="dxa"/>
                  <w:tcMar>
                    <w:left w:w="0" w:type="dxa"/>
                    <w:bottom w:w="0" w:type="dxa"/>
                  </w:tcMar>
                </w:tcPr>
                <w:p>
                  <w:pPr>
                    <w:pStyle w:val="skn-slo3ullinth-last-child1Paragraph"/>
                    <w:numPr>
                      <w:ilvl w:val="0"/>
                      <w:numId w:val="14"/>
                    </w:numPr>
                    <w:tabs>
                      <w:tab w:val="left" w:pos="400"/>
                    </w:tabs>
                    <w:spacing w:after="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Ensured adherence to hospital policies and nursing ethical standards.</w:t>
                  </w:r>
                </w:p>
              </w:tc>
              <w:tc>
                <w:tcPr>
                  <w:tcW w:w="600" w:type="dxa"/>
                  <w:tcMar>
                    <w:bottom w:w="0" w:type="dxa"/>
                  </w:tcMar>
                </w:tcPr>
                <w:p/>
              </w:tc>
              <w:tc>
                <w:tcPr>
                  <w:tcW w:w="5120" w:type="dxa"/>
                  <w:tcMar>
                    <w:bottom w:w="0" w:type="dxa"/>
                  </w:tcMar>
                </w:tcPr>
                <w:p/>
              </w:tc>
            </w:tr>
          </w:tbl>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Education</w:t>
      </w: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5408" behindDoc="0" locked="0" layoutInCell="1" allowOverlap="1">
                  <wp:simplePos x="0" y="0"/>
                  <wp:positionH relativeFrom="column">
                    <wp:posOffset>-50800</wp:posOffset>
                  </wp:positionH>
                  <wp:positionV relativeFrom="paragraph">
                    <wp:posOffset>-25400</wp:posOffset>
                  </wp:positionV>
                  <wp:extent cx="89410" cy="190998"/>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10th Standard</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St. Mary's High School</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March 1993</w:t>
                  </w: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6432" behindDoc="0" locked="0" layoutInCell="1" allowOverlap="1">
                  <wp:simplePos x="0" y="0"/>
                  <wp:positionH relativeFrom="column">
                    <wp:posOffset>-50800</wp:posOffset>
                  </wp:positionH>
                  <wp:positionV relativeFrom="paragraph">
                    <wp:posOffset>25400</wp:posOffset>
                  </wp:positionV>
                  <wp:extent cx="89410" cy="127540"/>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12th Standard</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Fergusson Junior College</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March 1995</w:t>
                  </w: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paragraphnth-last-child1timeline-svg"/>
                <w:rFonts w:ascii="Open Sans" w:eastAsia="Open Sans" w:hAnsi="Open Sans" w:cs="Open Sans"/>
                <w:color w:val="050505"/>
                <w:sz w:val="20"/>
                <w:szCs w:val="20"/>
                <w:bdr w:val="none" w:sz="0" w:space="0" w:color="auto"/>
                <w:vertAlign w:val="baseline"/>
              </w:rPr>
            </w:pPr>
            <w:r>
              <w:rPr>
                <w:rStyle w:val="skn-slo3sectionedu-secparlrColmnparagraphnth-last-child1timeline-svg"/>
                <w:rFonts w:ascii="Open Sans" w:eastAsia="Open Sans" w:hAnsi="Open Sans" w:cs="Open Sans"/>
                <w:color w:val="050505"/>
                <w:sz w:val="20"/>
                <w:szCs w:val="20"/>
                <w:bdr w:val="none" w:sz="0" w:space="0" w:color="auto"/>
                <w:vertAlign w:val="baseline"/>
              </w:rPr>
              <w:drawing>
                <wp:anchor simplePos="0" relativeHeight="251667456" behindDoc="0" locked="0" layoutInCell="1" allowOverlap="1">
                  <wp:simplePos x="0" y="0"/>
                  <wp:positionH relativeFrom="column">
                    <wp:posOffset>-50800</wp:posOffset>
                  </wp:positionH>
                  <wp:positionV relativeFrom="paragraph">
                    <wp:posOffset>25400</wp:posOffset>
                  </wp:positionV>
                  <wp:extent cx="89410" cy="127540"/>
                  <wp:wrapNone/>
                  <wp:docPr id="10002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Bachelor of Science</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in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Nursing</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College of Nursing</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June 2000</w:t>
                  </w:r>
                </w:p>
              </w:tc>
            </w:tr>
          </w:tbl>
          <w:p>
            <w:pPr>
              <w:rPr>
                <w:rStyle w:val="skn-slo3sectionedu-secparlrColmnparagraphnth-last-child1singlecolumn"/>
                <w:rFonts w:ascii="Open Sans" w:eastAsia="Open Sans" w:hAnsi="Open Sans" w:cs="Open Sans"/>
                <w:color w:val="050505"/>
                <w:sz w:val="20"/>
                <w:szCs w:val="20"/>
                <w:bdr w:val="none" w:sz="0" w:space="0" w:color="auto"/>
                <w:vertAlign w:val="baseline"/>
              </w:rPr>
            </w:p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Certifications</w:t>
      </w:r>
    </w:p>
    <w:tbl>
      <w:tblPr>
        <w:tblW w:w="10860" w:type="dxa"/>
        <w:jc w:val="left"/>
        <w:tblInd w:w="460" w:type="dxa"/>
        <w:tblCellMar>
          <w:left w:w="108" w:type="dxa"/>
          <w:right w:w="108" w:type="dxa"/>
        </w:tblCellMar>
      </w:tblPr>
      <w:tblGrid>
        <w:gridCol w:w="5045"/>
        <w:gridCol w:w="779"/>
        <w:gridCol w:w="5036"/>
      </w:tblGrid>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1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Registered Nurse License, Maharashtra Nursing Council</w:t>
            </w:r>
          </w:p>
        </w:tc>
        <w:tc>
          <w:tcPr>
            <w:tcW w:w="600" w:type="dxa"/>
            <w:tcMar>
              <w:bottom w:w="100" w:type="dxa"/>
            </w:tcMar>
          </w:tcPr>
          <w:p/>
        </w:tc>
        <w:tc>
          <w:tcPr>
            <w:tcW w:w="5130" w:type="dxa"/>
            <w:tcMar>
              <w:left w:w="0" w:type="dxa"/>
            </w:tcMar>
          </w:tcPr>
          <w:p>
            <w:pPr>
              <w:pStyle w:val="p"/>
              <w:numPr>
                <w:ilvl w:val="0"/>
                <w:numId w:val="16"/>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Registered Midwife License, Maharashtra Nursing Council</w:t>
            </w:r>
          </w:p>
        </w:tc>
      </w:tr>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17"/>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Nursing Administration and Leadership Certification, Indian Nursing Council</w:t>
            </w:r>
          </w:p>
        </w:tc>
        <w:tc>
          <w:tcPr>
            <w:tcW w:w="600" w:type="dxa"/>
            <w:tcMar>
              <w:bottom w:w="0" w:type="dxa"/>
            </w:tcMar>
          </w:tcPr>
          <w:p/>
        </w:tc>
        <w:tc>
          <w:tcPr>
            <w:tcW w:w="5130" w:type="dxa"/>
            <w:tcMar>
              <w:left w:w="0" w:type="dxa"/>
              <w:bottom w:w="0" w:type="dxa"/>
            </w:tcMar>
          </w:tcPr>
          <w:p>
            <w:pPr>
              <w:pStyle w:val="p"/>
              <w:numPr>
                <w:ilvl w:val="0"/>
                <w:numId w:val="18"/>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Hospital Quality Management Certification, NABH</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Projects</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Led hospital-wide nursing governance restructuring project to strengthen accountability and reporting systems. Implemented centralized nursing training framework to standardize clinical skills across departments.</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Accomplishments</w:t>
      </w:r>
    </w:p>
    <w:p>
      <w:pPr>
        <w:pStyle w:val="skn-slo3ulliParagraph"/>
        <w:numPr>
          <w:ilvl w:val="0"/>
          <w:numId w:val="19"/>
        </w:numPr>
        <w:pBdr>
          <w:top w:val="none" w:sz="0" w:space="0" w:color="auto"/>
          <w:left w:val="none" w:sz="0" w:space="0" w:color="auto"/>
          <w:bottom w:val="none" w:sz="0" w:space="0" w:color="auto"/>
          <w:right w:val="none" w:sz="0" w:space="0" w:color="auto"/>
        </w:pBdr>
        <w:spacing w:before="0" w:after="10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Led Apollo Hospitals nursing team to achieve high compliance scores during NABH accreditation audits.</w:t>
      </w:r>
    </w:p>
    <w:p>
      <w:pPr>
        <w:pStyle w:val="skn-slo3ulliParagraph"/>
        <w:numPr>
          <w:ilvl w:val="0"/>
          <w:numId w:val="19"/>
        </w:numPr>
        <w:spacing w:after="10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Improved patient safety indicators at Manipal Hospitals through structured nursing governance initiatives.</w:t>
      </w:r>
    </w:p>
    <w:p>
      <w:pPr>
        <w:pStyle w:val="skn-slo3ullinth-last-child1Paragraph"/>
        <w:numPr>
          <w:ilvl w:val="0"/>
          <w:numId w:val="19"/>
        </w:numPr>
        <w:spacing w:after="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Recognized at Ruby Hall Clinic for strengthening nursing supervision and audit readiness.</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References</w:t>
      </w:r>
    </w:p>
    <w:tbl>
      <w:tblPr>
        <w:tblStyle w:val="skn-slo3sectionreference-secrefparatable"/>
        <w:tblW w:w="0" w:type="auto"/>
        <w:tblCellSpacing w:w="0" w:type="dxa"/>
        <w:tblInd w:w="0" w:type="dxa"/>
        <w:tblLayout w:type="fixed"/>
        <w:tblCellMar>
          <w:top w:w="0" w:type="dxa"/>
          <w:left w:w="0" w:type="dxa"/>
          <w:bottom w:w="0" w:type="dxa"/>
          <w:right w:w="0" w:type="dxa"/>
        </w:tblCellMar>
        <w:tblLook w:val="05E0"/>
      </w:tblPr>
      <w:tblGrid>
        <w:gridCol w:w="5360"/>
        <w:gridCol w:w="600"/>
        <w:gridCol w:w="536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r>
              <w:rPr>
                <w:color w:val="FFFFFF"/>
                <w:sz w:val="2"/>
              </w:rPr>
              <w:t>.</w:t>
            </w:r>
          </w:p>
        </w:tc>
        <w:tc>
          <w:tcPr>
            <w:tcW w:w="600" w:type="dxa"/>
            <w:tcMar>
              <w:top w:w="0" w:type="dxa"/>
              <w:left w:w="0" w:type="dxa"/>
              <w:bottom w:w="0" w:type="dxa"/>
              <w:right w:w="0" w:type="dxa"/>
            </w:tcMar>
            <w:vAlign w:val="top"/>
            <w:hideMark/>
          </w:tcPr>
          <w:p/>
        </w:tc>
        <w:tc>
          <w:tcPr>
            <w:tcW w:w="5360" w:type="dxa"/>
            <w:tcMar>
              <w:top w:w="0" w:type="dxa"/>
              <w:left w:w="0" w:type="dxa"/>
              <w:bottom w:w="0" w:type="dxa"/>
              <w:right w:w="0" w:type="dxa"/>
            </w:tcMar>
            <w:vAlign w:val="top"/>
            <w:hideMark/>
          </w:tcPr>
          <w:p/>
        </w:tc>
      </w:tr>
    </w:tbl>
    <w:p>
      <w:pPr>
        <w:rPr>
          <w:rFonts w:ascii="Open Sans" w:eastAsia="Open Sans" w:hAnsi="Open Sans" w:cs="Open Sans"/>
          <w:b/>
          <w:bCs/>
          <w:caps/>
          <w:bdr w:val="none" w:sz="0" w:space="0" w:color="auto"/>
          <w:vertAlign w:val="baseline"/>
        </w:rPr>
      </w:pP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8">
    <w:nsid w:val="00000013"/>
    <w:multiLevelType w:val="hybridMultilevel"/>
    <w:tmpl w:val="00000013"/>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3pagesize">
    <w:name w:val="skn-slo3_pagesize"/>
    <w:basedOn w:val="Normal"/>
  </w:style>
  <w:style w:type="character" w:customStyle="1" w:styleId="skn-slo3top-sectionleft-box">
    <w:name w:val="skn-slo3_top-section_left-box"/>
    <w:basedOn w:val="DefaultParagraphFont"/>
  </w:style>
  <w:style w:type="character" w:customStyle="1" w:styleId="skn-slo3top-sectionright-box">
    <w:name w:val="skn-slo3_top-section_right-box"/>
    <w:basedOn w:val="DefaultParagraphFont"/>
  </w:style>
  <w:style w:type="paragraph" w:customStyle="1" w:styleId="skn-slo3firstsection">
    <w:name w:val="skn-slo3_firstsection"/>
    <w:basedOn w:val="Normal"/>
  </w:style>
  <w:style w:type="paragraph" w:customStyle="1" w:styleId="skn-slo3firstparagraph">
    <w:name w:val="skn-slo3_firstparagraph"/>
    <w:basedOn w:val="Normal"/>
  </w:style>
  <w:style w:type="paragraph" w:customStyle="1" w:styleId="skn-slo3txt-caps">
    <w:name w:val="skn-slo3_txt-caps"/>
    <w:basedOn w:val="Normal"/>
    <w:rPr>
      <w:caps/>
    </w:rPr>
  </w:style>
  <w:style w:type="character" w:customStyle="1" w:styleId="span">
    <w:name w:val="span"/>
    <w:basedOn w:val="DefaultParagraphFont"/>
    <w:rPr>
      <w:bdr w:val="none" w:sz="0" w:space="0" w:color="auto"/>
      <w:vertAlign w:val="baseline"/>
    </w:rPr>
  </w:style>
  <w:style w:type="character" w:customStyle="1" w:styleId="skn-slo3txt-capsCharacter">
    <w:name w:val="skn-slo3_txt-caps Character"/>
    <w:basedOn w:val="DefaultParagraphFont"/>
    <w:rPr>
      <w:caps/>
    </w:rPr>
  </w:style>
  <w:style w:type="paragraph" w:customStyle="1" w:styleId="skn-slo3cntc-sec">
    <w:name w:val="skn-slo3_cntc-sec"/>
    <w:basedOn w:val="Normal"/>
  </w:style>
  <w:style w:type="paragraph" w:customStyle="1" w:styleId="skn-slo3right-boxcntc-secparagraph">
    <w:name w:val="skn-slo3_right-box_cntc-sec_paragraph"/>
    <w:basedOn w:val="Normal"/>
    <w:pPr>
      <w:spacing w:line="400" w:lineRule="atLeast"/>
    </w:pPr>
  </w:style>
  <w:style w:type="paragraph" w:customStyle="1" w:styleId="skn-slo3address">
    <w:name w:val="skn-slo3_address"/>
    <w:basedOn w:val="Normal"/>
  </w:style>
  <w:style w:type="character" w:customStyle="1" w:styleId="skn-slo3ulli">
    <w:name w:val="skn-slo3_ul_li"/>
    <w:basedOn w:val="DefaultParagraphFont"/>
  </w:style>
  <w:style w:type="character" w:customStyle="1" w:styleId="spacebeforebulletcntc">
    <w:name w:val="spacebefore_bullet_cntc"/>
    <w:basedOn w:val="DefaultParagraphFont"/>
    <w:rPr>
      <w:rFonts w:ascii="Arial" w:eastAsia="Arial" w:hAnsi="Arial" w:cs="Arial"/>
      <w:sz w:val="20"/>
      <w:szCs w:val="20"/>
    </w:rPr>
  </w:style>
  <w:style w:type="character" w:customStyle="1" w:styleId="bluebullet">
    <w:name w:val="bluebullet"/>
    <w:basedOn w:val="DefaultParagraphFont"/>
    <w:rPr>
      <w:rFonts w:ascii="Arial" w:eastAsia="Arial" w:hAnsi="Arial" w:cs="Arial"/>
      <w:sz w:val="20"/>
      <w:szCs w:val="20"/>
    </w:rPr>
  </w:style>
  <w:style w:type="character" w:customStyle="1" w:styleId="skn-slo3spanempty">
    <w:name w:val="skn-slo3_span_empty"/>
    <w:basedOn w:val="DefaultParagraphFont"/>
    <w:rPr>
      <w:vanish/>
    </w:rPr>
  </w:style>
  <w:style w:type="character" w:customStyle="1" w:styleId="skn-slo3ullinth-last-child1">
    <w:name w:val="skn-slo3_ul_li_nth-last-child(1)"/>
    <w:basedOn w:val="DefaultParagraphFont"/>
  </w:style>
  <w:style w:type="character" w:customStyle="1" w:styleId="skn-slo3addressCharacter">
    <w:name w:val="skn-slo3_address Character"/>
    <w:basedOn w:val="DefaultParagraphFont"/>
  </w:style>
  <w:style w:type="table" w:customStyle="1" w:styleId="skn-slo3top-section">
    <w:name w:val="skn-slo3_top-section"/>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top-sectionparent-containersectionnth-child1">
    <w:name w:val="skn-slo3_top-section + parent-container_section_nth-child(1)"/>
    <w:basedOn w:val="Normal"/>
  </w:style>
  <w:style w:type="paragraph" w:customStyle="1" w:styleId="skn-slo3heading">
    <w:name w:val="skn-slo3_heading"/>
    <w:basedOn w:val="Normal"/>
    <w:rPr>
      <w:b/>
      <w:bCs/>
      <w:caps/>
    </w:rPr>
  </w:style>
  <w:style w:type="paragraph" w:customStyle="1" w:styleId="skn-slo3section-title">
    <w:name w:val="skn-slo3_section-title"/>
    <w:basedOn w:val="Normal"/>
    <w:pPr>
      <w:spacing w:line="340" w:lineRule="atLeast"/>
    </w:pPr>
    <w:rPr>
      <w:color w:val="050505"/>
      <w:sz w:val="24"/>
      <w:szCs w:val="24"/>
    </w:rPr>
  </w:style>
  <w:style w:type="paragraph" w:customStyle="1" w:styleId="skn-slo3singlecolumn">
    <w:name w:val="skn-slo3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cmn-sec">
    <w:name w:val="skn-slo3_cmn-sec"/>
    <w:basedOn w:val="Normal"/>
  </w:style>
  <w:style w:type="paragraph" w:customStyle="1" w:styleId="skn-slo3cmn-secheading">
    <w:name w:val="skn-slo3_cmn-sec_heading"/>
    <w:basedOn w:val="Normal"/>
  </w:style>
  <w:style w:type="paragraph" w:customStyle="1" w:styleId="skn-slo3cmn-secparagraph">
    <w:name w:val="skn-slo3_cmn-sec_paragraph"/>
    <w:basedOn w:val="Normal"/>
    <w:pPr>
      <w:pBdr>
        <w:left w:val="none" w:sz="0" w:space="18" w:color="auto"/>
      </w:pBdr>
      <w:spacing w:line="300" w:lineRule="atLeast"/>
    </w:pPr>
    <w:rPr>
      <w:sz w:val="20"/>
      <w:szCs w:val="20"/>
    </w:rPr>
  </w:style>
  <w:style w:type="paragraph" w:customStyle="1" w:styleId="skn-slo3ullinth-last-child1Paragraph">
    <w:name w:val="skn-slo3_ul_li_nth-last-child(1) Paragraph"/>
    <w:basedOn w:val="Normal"/>
  </w:style>
  <w:style w:type="character" w:customStyle="1" w:styleId="pCharacter">
    <w:name w:val="p Character"/>
    <w:basedOn w:val="DefaultParagraphFont"/>
    <w:rPr>
      <w:bdr w:val="none" w:sz="0" w:space="0" w:color="auto"/>
      <w:vertAlign w:val="baseline"/>
    </w:rPr>
  </w:style>
  <w:style w:type="paragraph" w:customStyle="1" w:styleId="skn-slo3cmn-secparagraphnth-last-child2">
    <w:name w:val="skn-slo3_cmn-sec_paragraph_nth-last-child(2)"/>
    <w:basedOn w:val="Normal"/>
  </w:style>
  <w:style w:type="paragraph" w:customStyle="1" w:styleId="skn-slo3cmn-secparagraphnth-last-child1">
    <w:name w:val="skn-slo3_cmn-sec_paragraph_nth-last-child(1)"/>
    <w:basedOn w:val="Normal"/>
  </w:style>
  <w:style w:type="paragraph" w:customStyle="1" w:styleId="skn-slo3section">
    <w:name w:val="skn-slo3_section"/>
    <w:basedOn w:val="Normal"/>
  </w:style>
  <w:style w:type="character" w:customStyle="1" w:styleId="skn-slo3sectionexpr-secparlrColmntimeline-svg">
    <w:name w:val="skn-slo3_section_expr-sec_parlrColmn_timeline-svg"/>
    <w:basedOn w:val="DefaultParagraphFont"/>
  </w:style>
  <w:style w:type="character" w:customStyle="1" w:styleId="skn-slo3sectionexpr-secparlrColmnsinglecolumn">
    <w:name w:val="skn-slo3_section_expr-sec_parlrColmn_singlecolumn"/>
    <w:basedOn w:val="DefaultParagraphFont"/>
  </w:style>
  <w:style w:type="paragraph" w:customStyle="1" w:styleId="skn-slo3disp-block">
    <w:name w:val="skn-slo3_disp-block"/>
    <w:basedOn w:val="Normal"/>
  </w:style>
  <w:style w:type="character" w:customStyle="1" w:styleId="spacebeforecomp">
    <w:name w:val="space_before_comp"/>
    <w:basedOn w:val="DefaultParagraphFont"/>
    <w:rPr>
      <w:rFonts w:ascii="Arial" w:eastAsia="Arial" w:hAnsi="Arial" w:cs="Arial"/>
      <w:sz w:val="20"/>
      <w:szCs w:val="20"/>
    </w:rPr>
  </w:style>
  <w:style w:type="character" w:customStyle="1" w:styleId="skn-slo3color-support">
    <w:name w:val="skn-slo3_color-support"/>
    <w:basedOn w:val="DefaultParagraphFont"/>
    <w:rPr>
      <w:color w:val="050505"/>
    </w:rPr>
  </w:style>
  <w:style w:type="character" w:customStyle="1" w:styleId="skn-slo3sectionexpr-sectbl-uppertbl-leftinner">
    <w:name w:val="skn-slo3_section_expr-sec_tbl-upper_tbl-leftinner"/>
    <w:basedOn w:val="DefaultParagraphFont"/>
  </w:style>
  <w:style w:type="character" w:customStyle="1" w:styleId="singlecolumnspanpaddedlinenth-child1">
    <w:name w:val="singlecolumn_span_paddedline_nth-child(1)"/>
    <w:basedOn w:val="DefaultParagraphFont"/>
  </w:style>
  <w:style w:type="character" w:customStyle="1" w:styleId="skn-slo3sectionexpr-sectbl-upperpaddingcell">
    <w:name w:val="skn-slo3_section_expr-sec_tbl-upper_paddingcell"/>
    <w:basedOn w:val="DefaultParagraphFont"/>
  </w:style>
  <w:style w:type="character" w:customStyle="1" w:styleId="skn-slo3sectionexpr-sectbl-uppertbl-inner">
    <w:name w:val="skn-slo3_section_expr-sec_tbl-upper_tbl-inner"/>
    <w:basedOn w:val="DefaultParagraphFont"/>
  </w:style>
  <w:style w:type="character" w:customStyle="1" w:styleId="skn-slo3txt-itl">
    <w:name w:val="skn-slo3_txt-itl"/>
    <w:basedOn w:val="DefaultParagraphFont"/>
    <w:rPr>
      <w:i/>
      <w:iCs/>
    </w:rPr>
  </w:style>
  <w:style w:type="table" w:customStyle="1" w:styleId="skn-slo3sectionexpr-sectbl-upper">
    <w:name w:val="skn-slo3_section_expr-sec_tbl-upper"/>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3ulliParagraph">
    <w:name w:val="skn-slo3_ul_li Paragraph"/>
    <w:basedOn w:val="Normal"/>
  </w:style>
  <w:style w:type="table" w:customStyle="1" w:styleId="skn-slo3sectionexpr-secparlrColmn">
    <w:name w:val="skn-slo3_section_expr-sec_parlrColmn"/>
    <w:basedOn w:val="TableNormal"/>
    <w:tblPr/>
  </w:style>
  <w:style w:type="character" w:customStyle="1" w:styleId="skn-slo3sectionexpr-secparlrColmnparagraphnth-last-child1timeline-svg">
    <w:name w:val="skn-slo3_section_expr-sec_parlrColmn_paragraph_nth-last-child(1)_timeline-svg"/>
    <w:basedOn w:val="DefaultParagraphFont"/>
    <w:rPr>
      <w:bdr w:val="none" w:sz="0" w:space="0" w:color="auto"/>
    </w:rPr>
  </w:style>
  <w:style w:type="character" w:customStyle="1" w:styleId="skn-slo3sectionexpr-secparlrColmnparagraphnth-last-child1singlecolumn">
    <w:name w:val="skn-slo3_section_expr-sec_parlrColmn_paragraph_nth-last-child(1)_singlecolumn"/>
    <w:basedOn w:val="DefaultParagraphFont"/>
  </w:style>
  <w:style w:type="character" w:customStyle="1" w:styleId="skn-slo3sectionedu-secparlrColmntimeline-svg">
    <w:name w:val="skn-slo3_section_edu-sec_parlrColmn_timeline-svg"/>
    <w:basedOn w:val="DefaultParagraphFont"/>
  </w:style>
  <w:style w:type="character" w:customStyle="1" w:styleId="skn-slo3sectionedu-secparlrColmnsinglecolumn">
    <w:name w:val="skn-slo3_section_edu-sec_parlrColmn_singlecolumn"/>
    <w:basedOn w:val="DefaultParagraphFont"/>
  </w:style>
  <w:style w:type="character" w:customStyle="1" w:styleId="skn-slo3edu-secparagraphsinglecolumnedu-headerfield-groupfield-group-leftCell">
    <w:name w:val="skn-slo3_edu-sec_paragraph_singlecolumn_edu-header_field-group_field-group-leftCell"/>
    <w:basedOn w:val="DefaultParagraphFont"/>
  </w:style>
  <w:style w:type="character" w:customStyle="1" w:styleId="skn-slo3edu-seccmn-title">
    <w:name w:val="skn-slo3_edu-sec_cmn-title"/>
    <w:basedOn w:val="DefaultParagraphFont"/>
  </w:style>
  <w:style w:type="character" w:customStyle="1" w:styleId="skn-slo3edu-secparagraphsinglecolumnedu-headerfield-grouppaddingcell">
    <w:name w:val="skn-slo3_edu-sec_paragraph_singlecolumn_edu-header_field-group_paddingcell"/>
    <w:basedOn w:val="DefaultParagraphFont"/>
  </w:style>
  <w:style w:type="paragraph" w:customStyle="1" w:styleId="skn-slo3edu-secparagraphsinglecolumnedu-headerfield-grouppaddingcellParagraph">
    <w:name w:val="skn-slo3_edu-sec_paragraph_singlecolumn_edu-header_field-group_paddingcell Paragraph"/>
    <w:basedOn w:val="Normal"/>
  </w:style>
  <w:style w:type="character" w:customStyle="1" w:styleId="skn-slo3edu-secparagraphsinglecolumnedu-headerfield-groupfield-group-rightCell">
    <w:name w:val="skn-slo3_edu-sec_paragraph_singlecolumn_edu-header_field-group_field-group-rightCell"/>
    <w:basedOn w:val="DefaultParagraphFont"/>
  </w:style>
  <w:style w:type="character" w:customStyle="1" w:styleId="skn-slo3spce-beforegpa">
    <w:name w:val="skn-slo3_spce-beforegpa"/>
    <w:basedOn w:val="DefaultParagraphFont"/>
    <w:rPr>
      <w:sz w:val="20"/>
      <w:szCs w:val="20"/>
    </w:rPr>
  </w:style>
  <w:style w:type="table" w:customStyle="1" w:styleId="skn-slo3edu-secparagraphsinglecolumnedu-headerfield-group">
    <w:name w:val="skn-slo3_edu-sec_paragraph_singlecolumn_edu-header_field-group"/>
    <w:basedOn w:val="TableNormal"/>
    <w:tblPr/>
  </w:style>
  <w:style w:type="character" w:customStyle="1" w:styleId="skn-slo3tbl-leftinner">
    <w:name w:val="skn-slo3_tbl-leftinner"/>
    <w:basedOn w:val="DefaultParagraphFont"/>
  </w:style>
  <w:style w:type="character" w:customStyle="1" w:styleId="skn-slo3edu-secparagraphsinglecolumnedu-headerfield-groupfield-group-rightCellfield-group-rightCell-stillenrolled">
    <w:name w:val="skn-slo3_edu-sec_paragraph_singlecolumn_edu-header_field-group_field-group-rightCell_field-group-rightCell-stillenrolled"/>
    <w:basedOn w:val="DefaultParagraphFont"/>
  </w:style>
  <w:style w:type="table" w:customStyle="1" w:styleId="skn-slo3sectionedu-secparlrColmn">
    <w:name w:val="skn-slo3_section_edu-sec_parlrColmn"/>
    <w:basedOn w:val="TableNormal"/>
    <w:tblPr/>
  </w:style>
  <w:style w:type="character" w:customStyle="1" w:styleId="skn-slo3sectionedu-secparlrColmnparagraphnth-last-child1timeline-svg">
    <w:name w:val="skn-slo3_section_edu-sec_parlrColmn_paragraph_nth-last-child(1)_timeline-svg"/>
    <w:basedOn w:val="DefaultParagraphFont"/>
    <w:rPr>
      <w:bdr w:val="none" w:sz="0" w:space="0" w:color="auto"/>
    </w:rPr>
  </w:style>
  <w:style w:type="character" w:customStyle="1" w:styleId="skn-slo3sectionedu-secparlrColmnparagraphnth-last-child1singlecolumn">
    <w:name w:val="skn-slo3_section_edu-sec_parlrColmn_paragraph_nth-last-child(1)_singlecolumn"/>
    <w:basedOn w:val="DefaultParagraphFont"/>
  </w:style>
  <w:style w:type="paragraph" w:customStyle="1" w:styleId="skn-slo3reference-sec">
    <w:name w:val="skn-slo3_reference-sec"/>
    <w:basedOn w:val="Normal"/>
  </w:style>
  <w:style w:type="paragraph" w:customStyle="1" w:styleId="skn-slo3reference-secheading">
    <w:name w:val="skn-slo3_reference-sec_heading"/>
    <w:basedOn w:val="Normal"/>
  </w:style>
  <w:style w:type="character" w:customStyle="1" w:styleId="skn-slo3reference-secparagraphnth-last-child1">
    <w:name w:val="skn-slo3_reference-sec_paragraph_nth-last-child(1)"/>
    <w:basedOn w:val="DefaultParagraphFont"/>
  </w:style>
  <w:style w:type="table" w:customStyle="1" w:styleId="skn-slo3sectionreference-secrefparatable">
    <w:name w:val="skn-slo3_section_reference-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Meera Kulkarni</dc:title>
  <cp:revision>0</cp:revision>
</cp:coreProperties>
</file>