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mlz2pict-name-box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60"/>
        <w:gridCol w:w="20"/>
        <w:gridCol w:w="11500"/>
        <w:gridCol w:w="36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360" w:type="dxa"/>
            <w:tcMar>
              <w:top w:w="0" w:type="dxa"/>
              <w:left w:w="0" w:type="dxa"/>
              <w:bottom w:w="480" w:type="dxa"/>
              <w:right w:w="0" w:type="dxa"/>
            </w:tcMar>
            <w:vAlign w:val="top"/>
            <w:hideMark/>
          </w:tcPr>
          <w:p>
            <w:pPr>
              <w:rPr>
                <w:rFonts w:ascii="Open Sans" w:eastAsia="Open Sans" w:hAnsi="Open Sans" w:cs="Open Sans"/>
                <w:sz w:val="20"/>
                <w:szCs w:val="20"/>
              </w:rPr>
            </w:pPr>
          </w:p>
        </w:tc>
        <w:tc>
          <w:tcPr>
            <w:tcW w:w="20" w:type="dxa"/>
            <w:tcMar>
              <w:top w:w="0" w:type="dxa"/>
              <w:left w:w="0" w:type="dxa"/>
              <w:bottom w:w="480" w:type="dxa"/>
              <w:right w:w="0" w:type="dxa"/>
            </w:tcMar>
            <w:vAlign w:val="top"/>
            <w:hideMark/>
          </w:tcPr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z2pict-pcpf-nonepict-name-boxpict-sec-container"/>
                <w:rFonts w:ascii="Open Sans" w:eastAsia="Open Sans" w:hAnsi="Open Sans" w:cs="Open Sans"/>
                <w:sz w:val="20"/>
                <w:szCs w:val="20"/>
              </w:rPr>
            </w:pPr>
          </w:p>
        </w:tc>
        <w:tc>
          <w:tcPr>
            <w:tcW w:w="11500" w:type="dxa"/>
            <w:tcMar>
              <w:top w:w="0" w:type="dxa"/>
              <w:left w:w="0" w:type="dxa"/>
              <w:bottom w:w="480" w:type="dxa"/>
              <w:right w:w="0" w:type="dxa"/>
            </w:tcMar>
            <w:vAlign w:val="top"/>
            <w:hideMark/>
          </w:tcPr>
          <w:tbl>
            <w:tblPr>
              <w:tblStyle w:val="skn-mlz2name-box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5200"/>
              <w:gridCol w:w="388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5200" w:type="dxa"/>
                  <w:tcMar>
                    <w:top w:w="0" w:type="dxa"/>
                    <w:left w:w="0" w:type="dxa"/>
                    <w:bottom w:w="160" w:type="dxa"/>
                    <w:right w:w="0" w:type="dxa"/>
                  </w:tcMar>
                  <w:vAlign w:val="top"/>
                  <w:hideMark/>
                </w:tcPr>
                <w:p>
                  <w:pPr>
                    <w:rPr>
                      <w:rStyle w:val="skn-mlz2pict-name-boxdiv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 w:val="0"/>
                      <w:sz w:val="60"/>
                      <w:szCs w:val="60"/>
                    </w:rPr>
                    <w:t>Raghav</w:t>
                  </w:r>
                  <w:r>
                    <w:rPr>
                      <w:rStyle w:val="skn-mlz2name-boxname"/>
                      <w:rFonts w:ascii="Open Sans" w:eastAsia="Open Sans" w:hAnsi="Open Sans" w:cs="Open Sans"/>
                      <w:b/>
                      <w:bCs/>
                      <w:caps w:val="0"/>
                      <w:sz w:val="60"/>
                      <w:szCs w:val="60"/>
                    </w:rPr>
                    <w:t xml:space="preserve"> 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 w:val="0"/>
                      <w:sz w:val="60"/>
                      <w:szCs w:val="60"/>
                    </w:rPr>
                    <w:t>Iyer</w:t>
                  </w:r>
                </w:p>
              </w:tc>
              <w:tc>
                <w:tcPr>
                  <w:tcW w:w="3880" w:type="dxa"/>
                  <w:tcMar>
                    <w:top w:w="0" w:type="dxa"/>
                    <w:left w:w="0" w:type="dxa"/>
                    <w:bottom w:w="160" w:type="dxa"/>
                    <w:right w:w="0" w:type="dxa"/>
                  </w:tcMar>
                  <w:vAlign w:val="top"/>
                  <w:hideMark/>
                </w:tcPr>
                <w:p>
                  <w:pPr>
                    <w:rPr>
                      <w:rStyle w:val="skn-mlz2name-boxname"/>
                      <w:rFonts w:ascii="Open Sans" w:eastAsia="Open Sans" w:hAnsi="Open Sans" w:cs="Open Sans"/>
                      <w:b/>
                      <w:bCs/>
                      <w:caps w:val="0"/>
                      <w:sz w:val="60"/>
                      <w:szCs w:val="60"/>
                    </w:rPr>
                  </w:pPr>
                  <w:r>
                    <w:rPr>
                      <w:rStyle w:val="skn-mlz2name-boxdiv"/>
                      <w:rFonts w:ascii="Open Sans" w:eastAsia="Open Sans" w:hAnsi="Open Sans" w:cs="Open Sans"/>
                      <w:b/>
                      <w:bCs/>
                      <w:caps w:val="0"/>
                      <w:sz w:val="60"/>
                      <w:szCs w:val="60"/>
                    </w:rPr>
                    <w:t> </w:t>
                  </w:r>
                </w:p>
              </w:tc>
            </w:tr>
          </w:tbl>
          <w:p>
            <w:pPr>
              <w:pStyle w:val="skn-mlz2resume-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z2pict-name-boxdiv"/>
                <w:rFonts w:ascii="Open Sans" w:eastAsia="Open Sans" w:hAnsi="Open Sans" w:cs="Open Sans"/>
                <w:b/>
                <w:bCs/>
                <w:caps w:val="0"/>
                <w:color w:val="217C7C"/>
                <w:sz w:val="28"/>
                <w:szCs w:val="28"/>
              </w:rPr>
            </w:pPr>
            <w:r>
              <w:rPr>
                <w:rStyle w:val="skn-mlz2anyCharacter"/>
                <w:rFonts w:ascii="Open Sans" w:eastAsia="Open Sans" w:hAnsi="Open Sans" w:cs="Open Sans"/>
                <w:b/>
                <w:bCs/>
                <w:caps w:val="0"/>
              </w:rPr>
              <w:t>Director Data Science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60" w:lineRule="exact"/>
              <w:ind w:left="0" w:right="0"/>
              <w:rPr>
                <w:rStyle w:val="skn-mlz2pict-name-box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pict-name-box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tbl>
            <w:tblPr>
              <w:tblStyle w:val="skn-mlz2grid-container"/>
              <w:tblW w:w="0" w:type="auto"/>
              <w:tblCellSpacing w:w="0" w:type="dxa"/>
              <w:tblInd w:w="0" w:type="dxa"/>
              <w:shd w:val="clear" w:color="auto" w:fill="217C7C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5510"/>
              <w:gridCol w:w="480"/>
              <w:gridCol w:w="5510"/>
            </w:tblGrid>
            <w:tr>
              <w:tblPrEx>
                <w:tblW w:w="0" w:type="auto"/>
                <w:tblCellSpacing w:w="0" w:type="dxa"/>
                <w:tblInd w:w="0" w:type="dxa"/>
                <w:shd w:val="clear" w:color="auto" w:fill="217C7C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5510" w:type="dxa"/>
                  <w:shd w:val="clear" w:color="auto" w:fill="64A3A3"/>
                  <w:tcMar>
                    <w:top w:w="120" w:type="dxa"/>
                    <w:left w:w="24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rPr>
                      <w:rStyle w:val="skn-mlz2pict-name-boxdiv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/>
                      <w:color w:val="FFFFFF"/>
                      <w:sz w:val="20"/>
                      <w:szCs w:val="20"/>
                    </w:rPr>
                    <w:t>Phone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/>
                      <w:color w:val="FFFFFF"/>
                      <w:sz w:val="20"/>
                      <w:szCs w:val="20"/>
                    </w:rPr>
                    <w:t> 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b w:val="0"/>
                      <w:bCs w:val="0"/>
                      <w:color w:val="FFFFFF"/>
                      <w:sz w:val="20"/>
                      <w:szCs w:val="20"/>
                    </w:rPr>
                    <w:t>+91 98765 43210</w:t>
                  </w:r>
                </w:p>
              </w:tc>
              <w:tc>
                <w:tcPr>
                  <w:tcW w:w="480" w:type="dxa"/>
                  <w:shd w:val="clear" w:color="auto" w:fill="64A3A3"/>
                  <w:tcMar>
                    <w:top w:w="12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5510" w:type="dxa"/>
                  <w:shd w:val="clear" w:color="auto" w:fill="64A3A3"/>
                  <w:tcMar>
                    <w:top w:w="120" w:type="dxa"/>
                    <w:left w:w="0" w:type="dxa"/>
                    <w:bottom w:w="0" w:type="dxa"/>
                    <w:right w:w="30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rPr>
                      <w:rStyle w:val="skn-mlz2grid-containeritem-flex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/>
                      <w:color w:val="FFFFFF"/>
                      <w:sz w:val="20"/>
                      <w:szCs w:val="20"/>
                    </w:rPr>
                    <w:t>Email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/>
                      <w:color w:val="FFFFFF"/>
                      <w:sz w:val="20"/>
                      <w:szCs w:val="20"/>
                    </w:rPr>
                    <w:t> 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b w:val="0"/>
                      <w:bCs w:val="0"/>
                      <w:color w:val="FFFFFF"/>
                      <w:sz w:val="20"/>
                      <w:szCs w:val="20"/>
                    </w:rPr>
                    <w:t>raghav.iyer@example.com</w:t>
                  </w:r>
                </w:p>
              </w:tc>
            </w:tr>
            <w:tr>
              <w:tblPrEx>
                <w:tblW w:w="0" w:type="auto"/>
                <w:tblCellSpacing w:w="0" w:type="dxa"/>
                <w:tblInd w:w="0" w:type="dxa"/>
                <w:shd w:val="clear" w:color="auto" w:fill="217C7C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5510" w:type="dxa"/>
                  <w:shd w:val="clear" w:color="auto" w:fill="64A3A3"/>
                  <w:tcMar>
                    <w:top w:w="120" w:type="dxa"/>
                    <w:left w:w="240" w:type="dxa"/>
                    <w:bottom w:w="16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rPr>
                      <w:rStyle w:val="skn-mlz2grid-containeritem-flex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/>
                      <w:color w:val="FFFFFF"/>
                      <w:sz w:val="20"/>
                      <w:szCs w:val="20"/>
                    </w:rPr>
                    <w:t>Address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/>
                      <w:color w:val="FFFFFF"/>
                      <w:sz w:val="20"/>
                      <w:szCs w:val="20"/>
                    </w:rPr>
                    <w:t> </w:t>
                  </w:r>
                  <w:r>
                    <w:rPr>
                      <w:rStyle w:val="skn-mlz2cntc-secico-txt"/>
                      <w:rFonts w:ascii="Open Sans" w:eastAsia="Open Sans" w:hAnsi="Open Sans" w:cs="Open Sans"/>
                      <w:b w:val="0"/>
                      <w:bCs w:val="0"/>
                      <w:sz w:val="20"/>
                      <w:szCs w:val="20"/>
                    </w:rPr>
                    <w:t xml:space="preserve"> Pune, Maharashtra411045</w:t>
                  </w:r>
                </w:p>
              </w:tc>
              <w:tc>
                <w:tcPr>
                  <w:tcW w:w="480" w:type="dxa"/>
                  <w:shd w:val="clear" w:color="auto" w:fill="64A3A3"/>
                  <w:tcMar>
                    <w:top w:w="120" w:type="dxa"/>
                    <w:left w:w="0" w:type="dxa"/>
                    <w:bottom w:w="16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5510" w:type="dxa"/>
                  <w:shd w:val="clear" w:color="auto" w:fill="64A3A3"/>
                  <w:tcMar>
                    <w:top w:w="120" w:type="dxa"/>
                    <w:left w:w="0" w:type="dxa"/>
                    <w:bottom w:w="160" w:type="dxa"/>
                    <w:right w:w="30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rPr>
                      <w:rStyle w:val="skn-mlz2grid-containeritem-flex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/>
                      <w:color w:val="FFFFFF"/>
                      <w:sz w:val="20"/>
                      <w:szCs w:val="20"/>
                    </w:rPr>
                    <w:t>DOB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/>
                      <w:color w:val="FFFFFF"/>
                      <w:sz w:val="20"/>
                      <w:szCs w:val="20"/>
                    </w:rPr>
                    <w:t> 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b w:val="0"/>
                      <w:bCs w:val="0"/>
                      <w:color w:val="FFFFFF"/>
                      <w:sz w:val="20"/>
                      <w:szCs w:val="20"/>
                    </w:rPr>
                    <w:t>18 August 1982</w:t>
                  </w:r>
                </w:p>
              </w:tc>
            </w:tr>
          </w:tbl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rPr>
                <w:rStyle w:val="skn-mlz2pict-name-boxdiv"/>
                <w:rFonts w:ascii="Open Sans" w:eastAsia="Open Sans" w:hAnsi="Open Sans" w:cs="Open Sans"/>
                <w:sz w:val="20"/>
                <w:szCs w:val="20"/>
              </w:rPr>
            </w:pPr>
          </w:p>
        </w:tc>
        <w:tc>
          <w:tcPr>
            <w:tcW w:w="360" w:type="dxa"/>
            <w:tcMar>
              <w:top w:w="0" w:type="dxa"/>
              <w:left w:w="0" w:type="dxa"/>
              <w:bottom w:w="480" w:type="dxa"/>
              <w:right w:w="0" w:type="dxa"/>
            </w:tcMar>
            <w:vAlign w:val="top"/>
            <w:hideMark/>
          </w:tcPr>
          <w:p>
            <w:pPr>
              <w:pStyle w:val="skn-mlz2pict-name-boxleftRightPaddingParagraph"/>
              <w:spacing w:line="240" w:lineRule="atLeast"/>
              <w:ind w:left="0" w:right="0"/>
              <w:rPr>
                <w:rStyle w:val="skn-mlz2pict-name-boxleftRightPadding"/>
                <w:rFonts w:ascii="Open Sans" w:eastAsia="Open Sans" w:hAnsi="Open Sans" w:cs="Open Sans"/>
                <w:sz w:val="20"/>
                <w:szCs w:val="20"/>
              </w:rPr>
            </w:pPr>
          </w:p>
        </w:tc>
      </w:tr>
    </w:tbl>
    <w:p>
      <w:pPr>
        <w:rPr>
          <w:vanish/>
        </w:rPr>
      </w:pPr>
    </w:p>
    <w:tbl>
      <w:tblPr>
        <w:tblStyle w:val="skn-mlz2mid-sec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60"/>
        <w:gridCol w:w="3440"/>
        <w:gridCol w:w="480"/>
        <w:gridCol w:w="7600"/>
        <w:gridCol w:w="36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36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rPr>
                <w:rFonts w:ascii="Open Sans" w:eastAsia="Open Sans" w:hAnsi="Open Sans" w:cs="Open Sans"/>
                <w:sz w:val="20"/>
                <w:szCs w:val="20"/>
              </w:rPr>
            </w:pPr>
          </w:p>
        </w:tc>
        <w:tc>
          <w:tcPr>
            <w:tcW w:w="344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0"/>
              <w:gridCol w:w="31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mid-sectionlef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2mid-sectionlef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drawing>
                      <wp:anchor simplePos="0" relativeHeight="251658240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wrapNone/>
                        <wp:docPr id="100003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3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oval id="_x0000_s1025" style="width:19.98pt;height:19.99pt;margin-top:-1pt;margin-left:-2pt;position:absolute;z-index:-251657216" fillcolor="#d3e5e5" stroked="f"/>
                    </w:pict>
                  </w:r>
                </w:p>
              </w:tc>
              <w:tc>
                <w:tcPr>
                  <w:tcW w:w="312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  <w:b/>
                      <w:bCs/>
                      <w:caps/>
                      <w:color w:val="181818"/>
                    </w:rPr>
                    <w:t>Professional Summary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Proven leader in data science with a strong track record of defining and executing analytics strategies that drive business growth. Expert in machine learning, AI governance, and cloud analytics platforms, with a focus on aligning data initiatives with strategic goals. Ready to leverage extensive experience to lead data-driven transformation as Director Data Science.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0"/>
              <w:gridCol w:w="31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mid-sectionlef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2mid-sectionlef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drawing>
                      <wp:anchor simplePos="0" relativeHeight="251660288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wrapNone/>
                        <wp:docPr id="100005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5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oval id="_x0000_s1026" style="width:19.98pt;height:19.99pt;margin-top:-1pt;margin-left:-2pt;position:absolute;z-index:-251655168" fillcolor="#d3e5e5" stroked="f"/>
                    </w:pict>
                  </w:r>
                </w:p>
              </w:tc>
              <w:tc>
                <w:tcPr>
                  <w:tcW w:w="312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  <w:b/>
                      <w:bCs/>
                      <w:caps/>
                      <w:color w:val="181818"/>
                    </w:rPr>
                    <w:t>Skills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p>
            <w:pPr>
              <w:pStyle w:val="skn-mlz2any"/>
              <w:numPr>
                <w:ilvl w:val="0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Data Science Leadership</w:t>
            </w:r>
          </w:p>
          <w:p>
            <w:pPr>
              <w:pStyle w:val="skn-mlz2any"/>
              <w:numPr>
                <w:ilvl w:val="0"/>
                <w:numId w:val="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Machine Learning Strategy</w:t>
            </w:r>
          </w:p>
          <w:p>
            <w:pPr>
              <w:pStyle w:val="skn-mlz2any"/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Advanced Analytics</w:t>
            </w:r>
          </w:p>
          <w:p>
            <w:pPr>
              <w:pStyle w:val="skn-mlz2any"/>
              <w:numPr>
                <w:ilvl w:val="0"/>
                <w:numId w:val="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AI Governance</w:t>
            </w:r>
          </w:p>
          <w:p>
            <w:pPr>
              <w:pStyle w:val="skn-mlz2any"/>
              <w:numPr>
                <w:ilvl w:val="0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Big Data Architecture</w:t>
            </w:r>
          </w:p>
          <w:p>
            <w:pPr>
              <w:pStyle w:val="skn-mlz2any"/>
              <w:numPr>
                <w:ilvl w:val="0"/>
                <w:numId w:val="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Python &amp; SQL</w:t>
            </w:r>
          </w:p>
          <w:p>
            <w:pPr>
              <w:pStyle w:val="skn-mlz2any"/>
              <w:numPr>
                <w:ilvl w:val="0"/>
                <w:numId w:val="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Cloud Analytics Platforms</w:t>
            </w:r>
          </w:p>
          <w:p>
            <w:pPr>
              <w:pStyle w:val="skn-mlz2any"/>
              <w:numPr>
                <w:ilvl w:val="0"/>
                <w:numId w:val="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Business Strategy Alignment</w:t>
            </w:r>
          </w:p>
          <w:p>
            <w:pPr>
              <w:pStyle w:val="skn-mlz2any"/>
              <w:numPr>
                <w:ilvl w:val="0"/>
                <w:numId w:val="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Stakeholder Management</w:t>
            </w:r>
          </w:p>
          <w:p>
            <w:pPr>
              <w:pStyle w:val="skn-mlz2any"/>
              <w:numPr>
                <w:ilvl w:val="0"/>
                <w:numId w:val="1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Team Building &amp; Mentorship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0"/>
              <w:gridCol w:w="31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mid-sectionlef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2mid-sectionlef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drawing>
                      <wp:anchor simplePos="0" relativeHeight="251662336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wrapNone/>
                        <wp:docPr id="100007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7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oval id="_x0000_s1027" style="width:19.98pt;height:19.99pt;margin-top:-1pt;margin-left:-2pt;position:absolute;z-index:-251653120" fillcolor="#d3e5e5" stroked="f"/>
                    </w:pict>
                  </w:r>
                </w:p>
              </w:tc>
              <w:tc>
                <w:tcPr>
                  <w:tcW w:w="312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  <w:b/>
                      <w:bCs/>
                      <w:caps/>
                      <w:color w:val="181818"/>
                    </w:rPr>
                    <w:t>Certifications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p>
            <w:pPr>
              <w:pStyle w:val="skn-mlz2any"/>
              <w:numPr>
                <w:ilvl w:val="0"/>
                <w:numId w:val="1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Certified Analytics Professional (CAP), INFORMS, 2014</w:t>
            </w:r>
          </w:p>
          <w:p>
            <w:pPr>
              <w:pStyle w:val="skn-mlz2any"/>
              <w:numPr>
                <w:ilvl w:val="0"/>
                <w:numId w:val="1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Advanced AI Strategy Program, MIT Sloan, 2019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0"/>
              <w:gridCol w:w="31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mid-sectionlef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2mid-sectionlef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drawing>
                      <wp:anchor simplePos="0" relativeHeight="251664384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wrapNone/>
                        <wp:docPr id="100009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9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oval id="_x0000_s1028" style="width:19.98pt;height:19.99pt;margin-top:-1pt;margin-left:-2pt;position:absolute;z-index:-251651072" fillcolor="#d3e5e5" stroked="f"/>
                    </w:pict>
                  </w:r>
                </w:p>
              </w:tc>
              <w:tc>
                <w:tcPr>
                  <w:tcW w:w="312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  <w:b/>
                      <w:bCs/>
                      <w:caps/>
                      <w:color w:val="181818"/>
                    </w:rPr>
                    <w:t>References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p>
            <w:pPr>
              <w:pStyle w:val="skn-mlz2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left-boxopacityCharacter"/>
                <w:rFonts w:ascii="Open Sans" w:eastAsia="Open Sans" w:hAnsi="Open Sans" w:cs="Open Sans"/>
                <w:sz w:val="20"/>
                <w:szCs w:val="20"/>
              </w:rPr>
              <w:t>References available upon request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</w:tc>
        <w:tc>
          <w:tcPr>
            <w:tcW w:w="48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z2mid-sectionmidPaddingCellParagraph"/>
              <w:spacing w:line="240" w:lineRule="atLeast"/>
              <w:ind w:left="0" w:right="0"/>
              <w:rPr>
                <w:rStyle w:val="skn-mlz2mid-sectionmidPaddingCell"/>
                <w:rFonts w:ascii="Open Sans" w:eastAsia="Open Sans" w:hAnsi="Open Sans" w:cs="Open Sans"/>
                <w:sz w:val="20"/>
                <w:szCs w:val="20"/>
              </w:rPr>
            </w:pPr>
          </w:p>
        </w:tc>
        <w:tc>
          <w:tcPr>
            <w:tcW w:w="76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0"/>
              <w:gridCol w:w="728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mid-sectiondiv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mid-sectiondiv"/>
                      <w:rFonts w:ascii="Open Sans" w:eastAsia="Open Sans" w:hAnsi="Open Sans" w:cs="Open Sans"/>
                      <w:sz w:val="20"/>
                      <w:szCs w:val="20"/>
                    </w:rPr>
                    <w:drawing>
                      <wp:anchor simplePos="0" relativeHeight="251666432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wrapNone/>
                        <wp:docPr id="100011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11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oval id="_x0000_s1029" style="width:19.98pt;height:19.99pt;margin-top:-1pt;margin-left:-2pt;position:absolute;z-index:-251649024" fillcolor="#d3e5e5" stroked="f"/>
                    </w:pict>
                  </w:r>
                </w:p>
              </w:tc>
              <w:tc>
                <w:tcPr>
                  <w:tcW w:w="728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  <w:b/>
                      <w:bCs/>
                      <w:caps/>
                    </w:rPr>
                    <w:t>Experience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p>
            <w:pPr>
              <w:pStyle w:val="skn-mlz2paragraphfirstparagraphga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z2mid-sectiondiv"/>
                <w:rFonts w:ascii="Open Sans" w:eastAsia="Open Sans" w:hAnsi="Open Sans" w:cs="Open Sans"/>
                <w:vanish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vanish/>
                <w:sz w:val="20"/>
                <w:szCs w:val="20"/>
              </w:rPr>
              <w:t> </w:t>
            </w:r>
          </w:p>
          <w:tbl>
            <w:tblPr>
              <w:tblStyle w:val="skn-mlz2expr-sec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560"/>
              <w:gridCol w:w="180"/>
              <w:gridCol w:w="2840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5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txt-boldParagraph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" w:eastAsia="Open Sans" w:hAnsi="Open Sans" w:cs="Open Sans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Style w:val="skn-mlz2right-boxjob-positiondiv"/>
                      <w:rFonts w:ascii="Open Sans" w:eastAsia="Open Sans" w:hAnsi="Open Sans" w:cs="Open Sans"/>
                      <w:b/>
                      <w:bCs/>
                      <w:sz w:val="22"/>
                      <w:szCs w:val="22"/>
                    </w:rPr>
                    <w:t>Director – Data Science</w:t>
                  </w:r>
                </w:p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NextGen Analytics Solutions Ltd</w:t>
                  </w:r>
                </w:p>
              </w:tc>
              <w:tc>
                <w:tcPr>
                  <w:tcW w:w="1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xprPadding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8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Apr 2018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 xml:space="preserve"> – 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Present</w:t>
                  </w:r>
                </w:p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Pune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Maharashtra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right-boxjob-positionemptyexpr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z2expr-seculli"/>
              <w:numPr>
                <w:ilvl w:val="0"/>
                <w:numId w:val="13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before="160"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Defined enterprise data science vision, aligning analytics initiatives with long-term business and digital transformation goals.</w:t>
            </w:r>
          </w:p>
          <w:p>
            <w:pPr>
              <w:pStyle w:val="skn-mlz2expr-seculli"/>
              <w:numPr>
                <w:ilvl w:val="0"/>
                <w:numId w:val="13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Led cross-functional teams of data scientists, engineers, and analysts across multiple high-impact business domains.</w:t>
            </w:r>
          </w:p>
          <w:p>
            <w:pPr>
              <w:pStyle w:val="skn-mlz2expr-seculli"/>
              <w:numPr>
                <w:ilvl w:val="0"/>
                <w:numId w:val="13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Established machine learning best practices, model governance frameworks, and ethical AI guidelines organization-wide.</w:t>
            </w:r>
          </w:p>
          <w:p>
            <w:pPr>
              <w:pStyle w:val="skn-mlz2expr-seculli"/>
              <w:numPr>
                <w:ilvl w:val="0"/>
                <w:numId w:val="13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Partnered with CXOs to translate strategic objectives into scalable analytics and AI solutions.</w:t>
            </w:r>
          </w:p>
          <w:p>
            <w:pPr>
              <w:pStyle w:val="skn-mlz2expr-seculli"/>
              <w:numPr>
                <w:ilvl w:val="0"/>
                <w:numId w:val="13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Oversaw deployment of predictive and prescriptive models into production environments across cloud platforms.</w:t>
            </w:r>
          </w:p>
          <w:p>
            <w:pPr>
              <w:pStyle w:val="skn-mlz2expr-secullinth-last-child1"/>
              <w:numPr>
                <w:ilvl w:val="0"/>
                <w:numId w:val="13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Drove data-driven culture through executive dashboards, insights forums, and leadership-level analytics reviews.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tbl>
            <w:tblPr>
              <w:tblStyle w:val="skn-mlz2expr-sec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560"/>
              <w:gridCol w:w="180"/>
              <w:gridCol w:w="2840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5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txt-boldParagraph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" w:eastAsia="Open Sans" w:hAnsi="Open Sans" w:cs="Open Sans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Style w:val="skn-mlz2right-boxjob-positiondiv"/>
                      <w:rFonts w:ascii="Open Sans" w:eastAsia="Open Sans" w:hAnsi="Open Sans" w:cs="Open Sans"/>
                      <w:b/>
                      <w:bCs/>
                      <w:sz w:val="22"/>
                      <w:szCs w:val="22"/>
                    </w:rPr>
                    <w:t>Senior Manager – Data Science</w:t>
                  </w:r>
                </w:p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InsightEdge Consulting Pvt Ltd</w:t>
                  </w:r>
                </w:p>
              </w:tc>
              <w:tc>
                <w:tcPr>
                  <w:tcW w:w="1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xprPadding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8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Jan 2013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 xml:space="preserve"> – 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Mar 2018</w:t>
                  </w:r>
                </w:p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Mumbai</w:t>
                  </w:r>
                  <w:r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right-boxjob-positionemptyexpr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z2expr-seculli"/>
              <w:numPr>
                <w:ilvl w:val="0"/>
                <w:numId w:val="14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before="160"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Managed end-to-end analytics programs for BFSI and retail clients, delivering measurable revenue and efficiency improvements.</w:t>
            </w:r>
          </w:p>
          <w:p>
            <w:pPr>
              <w:pStyle w:val="skn-mlz2expr-seculli"/>
              <w:numPr>
                <w:ilvl w:val="0"/>
                <w:numId w:val="14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Designed advanced statistical and machine learning models for risk, forecasting, and customer analytics use cases.</w:t>
            </w:r>
          </w:p>
          <w:p>
            <w:pPr>
              <w:pStyle w:val="skn-mlz2expr-seculli"/>
              <w:numPr>
                <w:ilvl w:val="0"/>
                <w:numId w:val="14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Mentored senior analysts and data scientists, supporting career development and technical excellence.</w:t>
            </w:r>
          </w:p>
          <w:p>
            <w:pPr>
              <w:pStyle w:val="skn-mlz2expr-seculli"/>
              <w:numPr>
                <w:ilvl w:val="0"/>
                <w:numId w:val="14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Collaborated with client leadership teams to define KPIs, success metrics, and analytics roadmaps.</w:t>
            </w:r>
          </w:p>
          <w:p>
            <w:pPr>
              <w:pStyle w:val="skn-mlz2expr-seculli"/>
              <w:numPr>
                <w:ilvl w:val="0"/>
                <w:numId w:val="14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Led large-scale data integration and feature engineering initiatives across structured and unstructured datasets.</w:t>
            </w:r>
          </w:p>
          <w:p>
            <w:pPr>
              <w:pStyle w:val="skn-mlz2expr-secullinth-last-child1"/>
              <w:numPr>
                <w:ilvl w:val="0"/>
                <w:numId w:val="14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Presented analytical insights and recommendations to senior stakeholders and client boards.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tbl>
            <w:tblPr>
              <w:tblStyle w:val="skn-mlz2expr-sec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560"/>
              <w:gridCol w:w="180"/>
              <w:gridCol w:w="2840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5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txt-boldParagraph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" w:eastAsia="Open Sans" w:hAnsi="Open Sans" w:cs="Open Sans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Style w:val="skn-mlz2right-boxjob-positiondiv"/>
                      <w:rFonts w:ascii="Open Sans" w:eastAsia="Open Sans" w:hAnsi="Open Sans" w:cs="Open Sans"/>
                      <w:b/>
                      <w:bCs/>
                      <w:sz w:val="22"/>
                      <w:szCs w:val="22"/>
                    </w:rPr>
                    <w:t>Analytics Manager</w:t>
                  </w:r>
                </w:p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DataCore Systems</w:t>
                  </w:r>
                </w:p>
              </w:tc>
              <w:tc>
                <w:tcPr>
                  <w:tcW w:w="1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xprPadding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8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Jul 2008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 xml:space="preserve"> – 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Dec 2012</w:t>
                  </w:r>
                </w:p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Bengaluru</w:t>
                  </w:r>
                  <w:r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right-boxjob-positionemptyexpr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z2expr-seculli"/>
              <w:numPr>
                <w:ilvl w:val="0"/>
                <w:numId w:val="15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before="160"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Built analytics teams supporting reporting, forecasting, and optimization initiatives for enterprise clients.</w:t>
            </w:r>
          </w:p>
          <w:p>
            <w:pPr>
              <w:pStyle w:val="skn-mlz2expr-seculli"/>
              <w:numPr>
                <w:ilvl w:val="0"/>
                <w:numId w:val="15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Developed predictive models and analytical frameworks supporting sales, operations, and marketing functions.</w:t>
            </w:r>
          </w:p>
          <w:p>
            <w:pPr>
              <w:pStyle w:val="skn-mlz2expr-seculli"/>
              <w:numPr>
                <w:ilvl w:val="0"/>
                <w:numId w:val="15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Standardized analytics processes, improving delivery timelines and model consistency across projects.</w:t>
            </w:r>
          </w:p>
          <w:p>
            <w:pPr>
              <w:pStyle w:val="skn-mlz2expr-seculli"/>
              <w:numPr>
                <w:ilvl w:val="0"/>
                <w:numId w:val="15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Coordinated with IT teams to improve data quality, availability, and reporting automation.</w:t>
            </w:r>
          </w:p>
          <w:p>
            <w:pPr>
              <w:pStyle w:val="skn-mlz2expr-seculli"/>
              <w:numPr>
                <w:ilvl w:val="0"/>
                <w:numId w:val="15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Guided junior analysts on statistical techniques, data storytelling, and business interpretation.</w:t>
            </w:r>
          </w:p>
          <w:p>
            <w:pPr>
              <w:pStyle w:val="skn-mlz2expr-secullinth-last-child1"/>
              <w:numPr>
                <w:ilvl w:val="0"/>
                <w:numId w:val="15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Supported pre-sales activities by contributing analytics solutions and effort estimations.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0"/>
              <w:gridCol w:w="728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mid-sectiondiv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mid-sectiondiv"/>
                      <w:rFonts w:ascii="Open Sans" w:eastAsia="Open Sans" w:hAnsi="Open Sans" w:cs="Open Sans"/>
                      <w:sz w:val="20"/>
                      <w:szCs w:val="20"/>
                    </w:rPr>
                    <w:drawing>
                      <wp:anchor simplePos="0" relativeHeight="251668480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wrapNone/>
                        <wp:docPr id="100013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13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oval id="_x0000_s1030" style="width:19.98pt;height:19.99pt;margin-top:-1pt;margin-left:-2pt;position:absolute;z-index:-251646976" fillcolor="#d3e5e5" stroked="f"/>
                    </w:pict>
                  </w:r>
                </w:p>
              </w:tc>
              <w:tc>
                <w:tcPr>
                  <w:tcW w:w="728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  <w:b/>
                      <w:bCs/>
                      <w:caps/>
                    </w:rPr>
                    <w:t>Education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p>
            <w:pPr>
              <w:pStyle w:val="skn-mlz2paragraphfirstparagraphga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z2mid-sectiondiv"/>
                <w:rFonts w:ascii="Open Sans" w:eastAsia="Open Sans" w:hAnsi="Open Sans" w:cs="Open Sans"/>
                <w:vanish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vanish/>
                <w:sz w:val="20"/>
                <w:szCs w:val="20"/>
              </w:rPr>
              <w:t> </w:t>
            </w:r>
          </w:p>
          <w:tbl>
            <w:tblPr>
              <w:tblStyle w:val="skn-mlz2right-box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560"/>
              <w:gridCol w:w="180"/>
              <w:gridCol w:w="2840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5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Style w:val="skn-mlz2anyCharacter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>Master of Business Administration</w:t>
                  </w:r>
                  <w:r>
                    <w:rPr>
                      <w:rStyle w:val="skn-mlz2right-boxjob-positiondiv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kn-mlz2anyCharacter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>in</w:t>
                  </w:r>
                  <w:r>
                    <w:rPr>
                      <w:rStyle w:val="skn-mlz2right-boxjob-positiondiv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kn-mlz2anyCharacter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>Information Systems</w:t>
                  </w:r>
                </w:p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Symbiosis Institute of Business Management</w:t>
                  </w:r>
                </w:p>
              </w:tc>
              <w:tc>
                <w:tcPr>
                  <w:tcW w:w="1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xprPadding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8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xprPadding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right"/>
                    <w:textAlignment w:val="top"/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Apr 2008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 xml:space="preserve"> </w:t>
                  </w:r>
                </w:p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mptyexpr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z2right-boxjob-positionemptyexpr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right-boxjob-positionemptyexpr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tbl>
            <w:tblPr>
              <w:tblStyle w:val="skn-mlz2right-box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560"/>
              <w:gridCol w:w="180"/>
              <w:gridCol w:w="2840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5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Style w:val="skn-mlz2anyCharacter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>Bachelor of Engineering</w:t>
                  </w:r>
                  <w:r>
                    <w:rPr>
                      <w:rStyle w:val="skn-mlz2right-boxjob-positiondiv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kn-mlz2anyCharacter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>in</w:t>
                  </w:r>
                  <w:r>
                    <w:rPr>
                      <w:rStyle w:val="skn-mlz2right-boxjob-positiondiv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kn-mlz2anyCharacter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>Computer Science</w:t>
                  </w:r>
                </w:p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University of Mumbai</w:t>
                  </w:r>
                </w:p>
              </w:tc>
              <w:tc>
                <w:tcPr>
                  <w:tcW w:w="1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xprPadding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8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xprPadding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right"/>
                    <w:textAlignment w:val="top"/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May 2005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 xml:space="preserve"> </w:t>
                  </w:r>
                </w:p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mptyexpr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z2right-boxjob-positionemptyexpr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right-boxjob-positionemptyexpr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tbl>
            <w:tblPr>
              <w:tblStyle w:val="skn-mlz2right-box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560"/>
              <w:gridCol w:w="180"/>
              <w:gridCol w:w="2840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5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Style w:val="skn-mlz2anyCharacter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>Higher Secondary Certificate</w:t>
                  </w:r>
                  <w:r>
                    <w:rPr>
                      <w:rStyle w:val="skn-mlz2right-boxjob-positiondiv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kn-mlz2anyCharacter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>in</w:t>
                  </w:r>
                  <w:r>
                    <w:rPr>
                      <w:rStyle w:val="skn-mlz2right-boxjob-positiondiv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kn-mlz2anyCharacter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>12th Standard</w:t>
                  </w:r>
                </w:p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Ramnarain Ruia College</w:t>
                  </w:r>
                </w:p>
              </w:tc>
              <w:tc>
                <w:tcPr>
                  <w:tcW w:w="1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xprPadding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8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xprPadding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right"/>
                    <w:textAlignment w:val="top"/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Mar 2001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 xml:space="preserve"> </w:t>
                  </w:r>
                </w:p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mptyexpr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z2right-boxjob-positionemptyexpr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right-boxjob-positionemptyexpr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tbl>
            <w:tblPr>
              <w:tblStyle w:val="skn-mlz2right-box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560"/>
              <w:gridCol w:w="180"/>
              <w:gridCol w:w="2840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5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Style w:val="skn-mlz2anyCharacter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>Secondary School Certificate</w:t>
                  </w:r>
                  <w:r>
                    <w:rPr>
                      <w:rStyle w:val="skn-mlz2right-boxjob-positiondiv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kn-mlz2anyCharacter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>in</w:t>
                  </w:r>
                  <w:r>
                    <w:rPr>
                      <w:rStyle w:val="skn-mlz2right-boxjob-positiondiv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kn-mlz2anyCharacter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>10th Standard</w:t>
                  </w:r>
                </w:p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St. Xavier's High School</w:t>
                  </w:r>
                </w:p>
              </w:tc>
              <w:tc>
                <w:tcPr>
                  <w:tcW w:w="1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xprPadding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8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xprPadding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right"/>
                    <w:textAlignment w:val="top"/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Mar 1999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 xml:space="preserve"> </w:t>
                  </w:r>
                </w:p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mptyexpr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z2right-boxjob-positionemptyexpr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right-boxjob-positionemptyexpr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0"/>
              <w:gridCol w:w="728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mid-sectiondiv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mid-sectiondiv"/>
                      <w:rFonts w:ascii="Open Sans" w:eastAsia="Open Sans" w:hAnsi="Open Sans" w:cs="Open Sans"/>
                      <w:sz w:val="20"/>
                      <w:szCs w:val="20"/>
                    </w:rPr>
                    <w:drawing>
                      <wp:anchor simplePos="0" relativeHeight="251670528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wrapNone/>
                        <wp:docPr id="100015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15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oval id="_x0000_s1031" style="width:19.98pt;height:19.99pt;margin-top:-1pt;margin-left:-2pt;position:absolute;z-index:-251644928" fillcolor="#d3e5e5" stroked="f"/>
                    </w:pict>
                  </w:r>
                </w:p>
              </w:tc>
              <w:tc>
                <w:tcPr>
                  <w:tcW w:w="728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  <w:b/>
                      <w:bCs/>
                      <w:caps/>
                    </w:rPr>
                    <w:t>Projects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p>
            <w:pPr>
              <w:pStyle w:val="skn-mlz2mid-sectionright-box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z2mid-sectiondiv"/>
                <w:rFonts w:ascii="Open Sans" w:eastAsia="Open Sans" w:hAnsi="Open Sans" w:cs="Open Sans"/>
                <w:color w:val="5D5D5D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color w:val="5D5D5D"/>
                <w:sz w:val="20"/>
                <w:szCs w:val="20"/>
              </w:rPr>
              <w:t>Enterprise AI Transformation Program, Led multi-year AI adoption initiative covering predictive analytics, automation, and executive dashboards. Customer Intelligence Platform, Designed scalable analytics platform enabling real-time customer insights across digital channels.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0"/>
              <w:gridCol w:w="728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mid-sectiondiv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mid-sectiondiv"/>
                      <w:rFonts w:ascii="Open Sans" w:eastAsia="Open Sans" w:hAnsi="Open Sans" w:cs="Open Sans"/>
                      <w:sz w:val="20"/>
                      <w:szCs w:val="20"/>
                    </w:rPr>
                    <w:drawing>
                      <wp:anchor simplePos="0" relativeHeight="251672576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wrapNone/>
                        <wp:docPr id="100017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17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oval id="_x0000_s1032" style="width:19.98pt;height:19.99pt;margin-top:-1pt;margin-left:-2pt;position:absolute;z-index:-251642880" fillcolor="#d3e5e5" stroked="f"/>
                    </w:pict>
                  </w:r>
                </w:p>
              </w:tc>
              <w:tc>
                <w:tcPr>
                  <w:tcW w:w="728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  <w:b/>
                      <w:bCs/>
                      <w:caps/>
                    </w:rPr>
                    <w:t>Accomplishments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p>
            <w:pPr>
              <w:pStyle w:val="skn-mlz2ulli"/>
              <w:numPr>
                <w:ilvl w:val="0"/>
                <w:numId w:val="1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60" w:after="0" w:line="240" w:lineRule="atLeast"/>
              <w:ind w:left="280" w:right="0" w:hanging="252"/>
              <w:jc w:val="left"/>
              <w:rPr>
                <w:rStyle w:val="skn-mlz2mid-sectiondiv"/>
                <w:rFonts w:ascii="Open Sans" w:eastAsia="Open Sans" w:hAnsi="Open Sans" w:cs="Open Sans"/>
                <w:color w:val="5D5D5D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color w:val="5D5D5D"/>
                <w:sz w:val="20"/>
                <w:szCs w:val="20"/>
              </w:rPr>
              <w:t>Successfully built and scaled a 40+ member data science organization across multiple business units.</w:t>
            </w:r>
          </w:p>
          <w:p>
            <w:pPr>
              <w:pStyle w:val="skn-mlz2ulli"/>
              <w:numPr>
                <w:ilvl w:val="0"/>
                <w:numId w:val="16"/>
              </w:numPr>
              <w:pBdr>
                <w:top w:val="none" w:sz="0" w:space="0" w:color="auto"/>
                <w:right w:val="none" w:sz="0" w:space="0" w:color="auto"/>
              </w:pBdr>
              <w:spacing w:after="0" w:line="240" w:lineRule="atLeast"/>
              <w:ind w:left="280" w:right="0" w:hanging="252"/>
              <w:jc w:val="left"/>
              <w:rPr>
                <w:rStyle w:val="skn-mlz2mid-sectiondiv"/>
                <w:rFonts w:ascii="Open Sans" w:eastAsia="Open Sans" w:hAnsi="Open Sans" w:cs="Open Sans"/>
                <w:color w:val="5D5D5D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color w:val="5D5D5D"/>
                <w:sz w:val="20"/>
                <w:szCs w:val="20"/>
              </w:rPr>
              <w:t>Delivered analytics initiatives contributing to over 20% operational efficiency improvement.</w:t>
            </w:r>
          </w:p>
          <w:p>
            <w:pPr>
              <w:pStyle w:val="skn-mlz2ullinth-last-child1"/>
              <w:numPr>
                <w:ilvl w:val="0"/>
                <w:numId w:val="16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0" w:line="240" w:lineRule="atLeast"/>
              <w:ind w:left="280" w:right="0" w:hanging="252"/>
              <w:jc w:val="left"/>
              <w:rPr>
                <w:rStyle w:val="skn-mlz2mid-sectiondiv"/>
                <w:rFonts w:ascii="Open Sans" w:eastAsia="Open Sans" w:hAnsi="Open Sans" w:cs="Open Sans"/>
                <w:color w:val="5D5D5D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color w:val="5D5D5D"/>
                <w:sz w:val="20"/>
                <w:szCs w:val="20"/>
              </w:rPr>
              <w:t>Recognized for executive leadership in driving enterprise-wide data maturity.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</w:tc>
        <w:tc>
          <w:tcPr>
            <w:tcW w:w="36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z2mid-sectionleftRightPaddingCellParagraph"/>
              <w:spacing w:line="240" w:lineRule="atLeast"/>
              <w:ind w:left="0" w:right="0"/>
              <w:rPr>
                <w:rStyle w:val="skn-mlz2mid-sectionleftRightPaddingCell"/>
                <w:rFonts w:ascii="Open Sans" w:eastAsia="Open Sans" w:hAnsi="Open Sans" w:cs="Open Sans"/>
                <w:sz w:val="20"/>
                <w:szCs w:val="20"/>
              </w:rPr>
            </w:pPr>
          </w:p>
        </w:tc>
      </w:tr>
    </w:tbl>
    <w:p>
      <w:pPr>
        <w:pStyle w:val="skn-mlz2any"/>
        <w:pBdr>
          <w:top w:val="none" w:sz="0" w:space="0" w:color="auto"/>
          <w:left w:val="none" w:sz="0" w:space="18" w:color="auto"/>
          <w:bottom w:val="none" w:sz="0" w:space="0" w:color="auto"/>
          <w:right w:val="none" w:sz="0" w:space="18" w:color="auto"/>
        </w:pBdr>
        <w:spacing w:before="0" w:after="0" w:line="240" w:lineRule="atLeast"/>
        <w:ind w:left="360" w:right="360"/>
        <w:rPr>
          <w:rFonts w:ascii="Open Sans" w:eastAsia="Open Sans" w:hAnsi="Open Sans" w:cs="Open Sans"/>
          <w:sz w:val="20"/>
          <w:szCs w:val="20"/>
        </w:rPr>
      </w:pPr>
    </w:p>
    <w:sectPr>
      <w:headerReference w:type="default" r:id="rId10"/>
      <w:pgSz w:w="12240" w:h="15840"/>
      <w:pgMar w:top="360" w:right="0" w:bottom="360" w:left="0" w:header="0" w:foo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Open Sans">
    <w:charset w:val="00"/>
    <w:family w:val="auto"/>
    <w:pitch w:val="default"/>
    <w:sig w:usb0="00000000" w:usb1="00000000" w:usb2="00000000" w:usb3="00000000" w:csb0="00000001" w:csb1="00000000"/>
    <w:embedRegular r:id="rId1" w:fontKey="{CE3B4DF7-018C-4035-B3DF-E7948ED64693}"/>
    <w:embedBold r:id="rId2" w:fontKey="{14D29785-B076-443A-ACE3-B0D75D0A67D2}"/>
  </w:font>
  <w:font w:name="Open Sans SemiBold">
    <w:charset w:val="00"/>
    <w:family w:val="auto"/>
    <w:pitch w:val="default"/>
    <w:embedRegular r:id="rId3" w:fontKey="{CF44E91B-E115-4BAD-B0CF-699E6D69265B}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rPr>
        <w:rStyle w:val="skn-mlz2pict-pcpf-nonepict-name-boxpict-sec-container"/>
        <w:rFonts w:ascii="Open Sans" w:eastAsia="Open Sans" w:hAnsi="Open Sans" w:cs="Open Sans"/>
        <w:sz w:val="20"/>
        <w:szCs w:val="20"/>
      </w:rPr>
      <w:drawing>
        <wp:anchor simplePos="0" relativeHeight="251658240" behindDoc="1" locked="0" layoutInCell="1" allowOverlap="1">
          <wp:simplePos x="0" y="0"/>
          <wp:positionH relativeFrom="column">
            <wp:posOffset>5105400</wp:posOffset>
          </wp:positionH>
          <wp:positionV relativeFrom="paragraph">
            <wp:posOffset>0</wp:posOffset>
          </wp:positionV>
          <wp:extent cx="2654935" cy="2084597"/>
          <wp:wrapNone/>
          <wp:docPr id="100001" name=""/>
          <wp:cNvGraphicFramePr>
            <a:graphicFrameLocks xmlns:a="http://schemas.openxmlformats.org/drawingml/2006/main" noChangeAspect="0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001" name=""/>
                  <pic:cNvPicPr>
                    <a:picLocks noChangeAspect="0"/>
                  </pic:cNvPicPr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654935" cy="208459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color w:val="FFFFFF"/>
        <w:sz w:val="2"/>
      </w:rPr>
      <w:t>.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D"/>
    <w:multiLevelType w:val="hybridMultilevel"/>
    <w:tmpl w:val="0000000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3">
    <w:nsid w:val="0000000E"/>
    <w:multiLevelType w:val="hybridMultilevel"/>
    <w:tmpl w:val="000000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4">
    <w:nsid w:val="0000000F"/>
    <w:multiLevelType w:val="hybridMultilevel"/>
    <w:tmpl w:val="0000000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5">
    <w:nsid w:val="00000010"/>
    <w:multiLevelType w:val="hybridMultilevel"/>
    <w:tmpl w:val="0000001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mlz2hmargins">
    <w:name w:val="skn-mlz2_hmargins"/>
    <w:basedOn w:val="Normal"/>
    <w:pPr>
      <w:pBdr>
        <w:left w:val="none" w:sz="0" w:space="0" w:color="auto"/>
        <w:right w:val="none" w:sz="0" w:space="0" w:color="auto"/>
      </w:pBdr>
    </w:pPr>
  </w:style>
  <w:style w:type="character" w:customStyle="1" w:styleId="skn-mlz2pict-name-boxleftRightPadding">
    <w:name w:val="skn-mlz2_pict-name-box_leftRightPadding"/>
    <w:basedOn w:val="DefaultParagraphFont"/>
  </w:style>
  <w:style w:type="character" w:customStyle="1" w:styleId="skn-mlz2pict-pcpf-nonepict-name-boxpict-sec-container">
    <w:name w:val="skn-mlz2_pict-pcpf-none_pict-name-box_pict-sec-container"/>
    <w:basedOn w:val="DefaultParagraphFont"/>
  </w:style>
  <w:style w:type="paragraph" w:customStyle="1" w:styleId="skn-mlz2any">
    <w:name w:val="skn-mlz2_any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style>
  <w:style w:type="character" w:customStyle="1" w:styleId="skn-mlz2pict-name-boxdiv">
    <w:name w:val="skn-mlz2_pict-name-box &gt; div"/>
    <w:basedOn w:val="DefaultParagraphFont"/>
  </w:style>
  <w:style w:type="paragraph" w:customStyle="1" w:styleId="skn-mlz2sectionnth-child1">
    <w:name w:val="skn-mlz2_section_nth-child(1)"/>
    <w:basedOn w:val="Normal"/>
    <w:pPr>
      <w:pBdr>
        <w:top w:val="none" w:sz="0" w:space="0" w:color="auto"/>
      </w:pBdr>
    </w:pPr>
  </w:style>
  <w:style w:type="paragraph" w:customStyle="1" w:styleId="skn-mlz2firstparagraph">
    <w:name w:val="skn-mlz2_firstparagraph"/>
    <w:basedOn w:val="Normal"/>
  </w:style>
  <w:style w:type="character" w:customStyle="1" w:styleId="skn-mlz2name-boxname">
    <w:name w:val="skn-mlz2_name-box_name"/>
    <w:basedOn w:val="DefaultParagraphFont"/>
  </w:style>
  <w:style w:type="character" w:customStyle="1" w:styleId="skn-mlz2anyCharacter">
    <w:name w:val="skn-mlz2_any Character"/>
    <w:basedOn w:val="DefaultParagraphFont"/>
  </w:style>
  <w:style w:type="character" w:customStyle="1" w:styleId="skn-mlz2name-boxdiv">
    <w:name w:val="skn-mlz2_name-box &gt; div"/>
    <w:basedOn w:val="DefaultParagraphFont"/>
  </w:style>
  <w:style w:type="table" w:customStyle="1" w:styleId="skn-mlz2name-box">
    <w:name w:val="skn-mlz2_name-box"/>
    <w:basedOn w:val="TableNormal"/>
    <w:tblPr/>
  </w:style>
  <w:style w:type="paragraph" w:customStyle="1" w:styleId="skn-mlz2resume-title">
    <w:name w:val="skn-mlz2_resume-title"/>
    <w:basedOn w:val="Normal"/>
    <w:pPr>
      <w:pBdr>
        <w:bottom w:val="none" w:sz="0" w:space="8" w:color="auto"/>
      </w:pBdr>
      <w:spacing w:line="360" w:lineRule="atLeast"/>
    </w:pPr>
    <w:rPr>
      <w:b/>
      <w:bCs/>
      <w:caps w:val="0"/>
      <w:color w:val="217C7C"/>
      <w:sz w:val="28"/>
      <w:szCs w:val="28"/>
    </w:rPr>
  </w:style>
  <w:style w:type="paragraph" w:customStyle="1" w:styleId="skn-mlz2section">
    <w:name w:val="skn-mlz2_section"/>
    <w:basedOn w:val="Normal"/>
  </w:style>
  <w:style w:type="character" w:customStyle="1" w:styleId="skn-mlz2grid-containeritem-flex">
    <w:name w:val="skn-mlz2_grid-container_item-flex"/>
    <w:basedOn w:val="DefaultParagraphFont"/>
    <w:rPr>
      <w:color w:val="FFFFFF"/>
    </w:rPr>
  </w:style>
  <w:style w:type="character" w:customStyle="1" w:styleId="skn-mlz2icon-label">
    <w:name w:val="skn-mlz2_icon-label"/>
    <w:basedOn w:val="DefaultParagraphFont"/>
    <w:rPr>
      <w:b/>
      <w:bCs/>
      <w:caps/>
      <w:color w:val="FFFFFF"/>
    </w:rPr>
  </w:style>
  <w:style w:type="character" w:customStyle="1" w:styleId="skn-mlz2cntc-secico-txt">
    <w:name w:val="skn-mlz2_cntc-sec_ico-txt"/>
    <w:basedOn w:val="DefaultParagraphFont"/>
    <w:rPr>
      <w:b w:val="0"/>
      <w:bCs w:val="0"/>
      <w:color w:val="FFFFFF"/>
    </w:rPr>
  </w:style>
  <w:style w:type="character" w:customStyle="1" w:styleId="skn-mlz2txt-bold">
    <w:name w:val="skn-mlz2_txt-bold"/>
    <w:basedOn w:val="DefaultParagraphFont"/>
    <w:rPr>
      <w:b/>
      <w:bCs/>
    </w:rPr>
  </w:style>
  <w:style w:type="table" w:customStyle="1" w:styleId="skn-mlz2grid-container">
    <w:name w:val="skn-mlz2_grid-container"/>
    <w:basedOn w:val="TableNormal"/>
    <w:tblPr/>
  </w:style>
  <w:style w:type="paragraph" w:customStyle="1" w:styleId="skn-mlz2pict-name-boxleftRightPaddingParagraph">
    <w:name w:val="skn-mlz2_pict-name-box_leftRightPadding Paragraph"/>
    <w:basedOn w:val="Normal"/>
  </w:style>
  <w:style w:type="table" w:customStyle="1" w:styleId="skn-mlz2pict-name-box">
    <w:name w:val="skn-mlz2_pict-name-box"/>
    <w:basedOn w:val="TableNormal"/>
    <w:tblPr/>
  </w:style>
  <w:style w:type="character" w:customStyle="1" w:styleId="skn-mlz2mid-sectionleftRightPaddingCell">
    <w:name w:val="skn-mlz2_mid-section_leftRightPaddingCell"/>
    <w:basedOn w:val="DefaultParagraphFont"/>
  </w:style>
  <w:style w:type="character" w:customStyle="1" w:styleId="skn-mlz2mid-sectionleft-box">
    <w:name w:val="skn-mlz2_mid-section_left-box"/>
    <w:basedOn w:val="DefaultParagraphFont"/>
  </w:style>
  <w:style w:type="paragraph" w:customStyle="1" w:styleId="skn-mlz2mid-sectionleft-boxsectionnth-child1">
    <w:name w:val="skn-mlz2_mid-section_left-box_section_nth-child(1)"/>
    <w:basedOn w:val="Normal"/>
    <w:pPr>
      <w:pBdr>
        <w:top w:val="none" w:sz="0" w:space="0" w:color="auto"/>
      </w:pBdr>
    </w:pPr>
  </w:style>
  <w:style w:type="character" w:customStyle="1" w:styleId="skn-mlz2headingTableheadingIcon">
    <w:name w:val="skn-mlz2_headingTable_headingIcon"/>
    <w:basedOn w:val="DefaultParagraphFont"/>
  </w:style>
  <w:style w:type="character" w:customStyle="1" w:styleId="skn-mlz2headingTablesectiontitle">
    <w:name w:val="skn-mlz2_headingTable_sectiontitle"/>
    <w:basedOn w:val="DefaultParagraphFont"/>
    <w:rPr>
      <w:b/>
      <w:bCs/>
      <w:caps/>
      <w:sz w:val="24"/>
      <w:szCs w:val="24"/>
    </w:rPr>
  </w:style>
  <w:style w:type="table" w:customStyle="1" w:styleId="skn-mlz2headingTable">
    <w:name w:val="skn-mlz2_headingTable"/>
    <w:basedOn w:val="TableNormal"/>
    <w:tblPr/>
  </w:style>
  <w:style w:type="paragraph" w:customStyle="1" w:styleId="skn-mlz2left-boxopacity">
    <w:name w:val="skn-mlz2_left-box_opacity"/>
    <w:basedOn w:val="Normal"/>
    <w:rPr>
      <w:color w:val="2F2F2F"/>
    </w:rPr>
  </w:style>
  <w:style w:type="paragraph" w:customStyle="1" w:styleId="skn-mlz2left-boxsimilar-sec">
    <w:name w:val="skn-mlz2_left-box_similar-sec"/>
    <w:basedOn w:val="Normal"/>
  </w:style>
  <w:style w:type="paragraph" w:customStyle="1" w:styleId="skn-mlz2similar-secheading">
    <w:name w:val="skn-mlz2_similar-sec_heading"/>
    <w:basedOn w:val="Normal"/>
  </w:style>
  <w:style w:type="paragraph" w:customStyle="1" w:styleId="skn-mlz2left-boxsimilar-secparagraph">
    <w:name w:val="skn-mlz2_left-box_similar-sec_paragraph"/>
    <w:basedOn w:val="Normal"/>
  </w:style>
  <w:style w:type="paragraph" w:customStyle="1" w:styleId="skn-mlz2ullinth-last-child1">
    <w:name w:val="skn-mlz2_ul_li_nth-last-child(1)"/>
    <w:basedOn w:val="Normal"/>
    <w:pPr>
      <w:pBdr>
        <w:bottom w:val="none" w:sz="0" w:space="0" w:color="auto"/>
      </w:pBdr>
    </w:pPr>
  </w:style>
  <w:style w:type="paragraph" w:customStyle="1" w:styleId="skn-mlz2mid-sectionsectionnth-last-child1">
    <w:name w:val="skn-mlz2_mid-section_section_nth-last-child(1)"/>
    <w:basedOn w:val="Normal"/>
  </w:style>
  <w:style w:type="paragraph" w:customStyle="1" w:styleId="skn-mlz2paragraph">
    <w:name w:val="skn-mlz2_paragraph"/>
    <w:basedOn w:val="Normal"/>
  </w:style>
  <w:style w:type="character" w:customStyle="1" w:styleId="skn-mlz2left-boxopacityCharacter">
    <w:name w:val="skn-mlz2_left-box_opacity Character"/>
    <w:basedOn w:val="DefaultParagraphFont"/>
    <w:rPr>
      <w:color w:val="2F2F2F"/>
    </w:rPr>
  </w:style>
  <w:style w:type="character" w:customStyle="1" w:styleId="skn-mlz2mid-sectionmidPaddingCell">
    <w:name w:val="skn-mlz2_mid-section_midPaddingCell"/>
    <w:basedOn w:val="DefaultParagraphFont"/>
  </w:style>
  <w:style w:type="paragraph" w:customStyle="1" w:styleId="skn-mlz2mid-sectionmidPaddingCellParagraph">
    <w:name w:val="skn-mlz2_mid-section_midPaddingCell Paragraph"/>
    <w:basedOn w:val="Normal"/>
  </w:style>
  <w:style w:type="character" w:customStyle="1" w:styleId="skn-mlz2mid-sectiondiv">
    <w:name w:val="skn-mlz2_mid-section &gt; div"/>
    <w:basedOn w:val="DefaultParagraphFont"/>
  </w:style>
  <w:style w:type="paragraph" w:customStyle="1" w:styleId="skn-mlz2mid-sectionright-boxsectionnth-child1">
    <w:name w:val="skn-mlz2_mid-section_right-box_section_nth-child(1)"/>
    <w:basedOn w:val="Normal"/>
    <w:pPr>
      <w:pBdr>
        <w:top w:val="none" w:sz="0" w:space="0" w:color="auto"/>
      </w:pBdr>
    </w:pPr>
  </w:style>
  <w:style w:type="paragraph" w:customStyle="1" w:styleId="skn-mlz2paragraphfirstparagraphgapDiv">
    <w:name w:val="skn-mlz2_paragraph_firstparagraph_gapDiv"/>
    <w:basedOn w:val="Normal"/>
    <w:rPr>
      <w:vanish/>
    </w:rPr>
  </w:style>
  <w:style w:type="paragraph" w:customStyle="1" w:styleId="skn-mlz2mid-sectionright-boxsinglecolumn">
    <w:name w:val="skn-mlz2_mid-section_right-box_singlecolumn"/>
    <w:basedOn w:val="Normal"/>
  </w:style>
  <w:style w:type="character" w:customStyle="1" w:styleId="skn-mlz2right-boxjob-positiondiv">
    <w:name w:val="skn-mlz2_right-box_job-position &gt; div"/>
    <w:basedOn w:val="DefaultParagraphFont"/>
  </w:style>
  <w:style w:type="paragraph" w:customStyle="1" w:styleId="skn-mlz2txt-boldParagraph">
    <w:name w:val="skn-mlz2_txt-bold Paragraph"/>
    <w:basedOn w:val="Normal"/>
    <w:rPr>
      <w:b/>
      <w:bCs/>
    </w:rPr>
  </w:style>
  <w:style w:type="paragraph" w:customStyle="1" w:styleId="skn-mlz2disp-block">
    <w:name w:val="skn-mlz2_disp-block"/>
    <w:basedOn w:val="Normal"/>
  </w:style>
  <w:style w:type="character" w:customStyle="1" w:styleId="skn-mlz2right-boxjob-positionexprPaddingCell">
    <w:name w:val="skn-mlz2_right-box_job-position_exprPaddingCell"/>
    <w:basedOn w:val="DefaultParagraphFont"/>
  </w:style>
  <w:style w:type="paragraph" w:customStyle="1" w:styleId="skn-mlz2right-boxjob-positionexprPaddingCellParagraph">
    <w:name w:val="skn-mlz2_right-box_job-position_exprPaddingCell Paragraph"/>
    <w:basedOn w:val="Normal"/>
  </w:style>
  <w:style w:type="character" w:customStyle="1" w:styleId="skn-mlz2right-boxjob-positionemptyexprcell">
    <w:name w:val="skn-mlz2_right-box_job-position_emptyexprcell"/>
    <w:basedOn w:val="DefaultParagraphFont"/>
  </w:style>
  <w:style w:type="table" w:customStyle="1" w:styleId="skn-mlz2expr-secjob-position">
    <w:name w:val="skn-mlz2_expr-sec_job-position"/>
    <w:basedOn w:val="TableNormal"/>
    <w:tblPr/>
  </w:style>
  <w:style w:type="character" w:customStyle="1" w:styleId="skn-mlz2right-boxopacity">
    <w:name w:val="skn-mlz2_right-box_opacity"/>
    <w:basedOn w:val="DefaultParagraphFont"/>
    <w:rPr>
      <w:color w:val="5D5D5D"/>
    </w:rPr>
  </w:style>
  <w:style w:type="paragraph" w:customStyle="1" w:styleId="skn-mlz2expr-seculli">
    <w:name w:val="skn-mlz2_expr-sec_ul_li"/>
    <w:basedOn w:val="Normal"/>
    <w:pPr>
      <w:pBdr>
        <w:bottom w:val="none" w:sz="0" w:space="0" w:color="auto"/>
      </w:pBdr>
    </w:pPr>
  </w:style>
  <w:style w:type="paragraph" w:customStyle="1" w:styleId="skn-mlz2expr-secullinth-last-child1">
    <w:name w:val="skn-mlz2_expr-sec_ul_li_nth-last-child(1)"/>
    <w:basedOn w:val="Normal"/>
    <w:pPr>
      <w:pBdr>
        <w:bottom w:val="none" w:sz="0" w:space="0" w:color="auto"/>
      </w:pBdr>
    </w:pPr>
  </w:style>
  <w:style w:type="paragraph" w:customStyle="1" w:styleId="skn-mlz2right-boxjob-positionemptyexprcellParagraph">
    <w:name w:val="skn-mlz2_right-box_job-position_emptyexprcell Paragraph"/>
    <w:basedOn w:val="Normal"/>
  </w:style>
  <w:style w:type="table" w:customStyle="1" w:styleId="skn-mlz2right-boxjob-position">
    <w:name w:val="skn-mlz2_right-box_job-position"/>
    <w:basedOn w:val="TableNormal"/>
    <w:tblPr/>
  </w:style>
  <w:style w:type="paragraph" w:customStyle="1" w:styleId="skn-mlz2ulli">
    <w:name w:val="skn-mlz2_ul_li"/>
    <w:basedOn w:val="Normal"/>
    <w:pPr>
      <w:pBdr>
        <w:left w:val="none" w:sz="0" w:space="3" w:color="auto"/>
        <w:bottom w:val="none" w:sz="0" w:space="4" w:color="auto"/>
      </w:pBdr>
    </w:pPr>
  </w:style>
  <w:style w:type="paragraph" w:customStyle="1" w:styleId="skn-mlz2mid-sectionleftRightPaddingCellParagraph">
    <w:name w:val="skn-mlz2_mid-section_leftRightPaddingCell Paragraph"/>
    <w:basedOn w:val="Normal"/>
  </w:style>
  <w:style w:type="table" w:customStyle="1" w:styleId="skn-mlz2mid-section">
    <w:name w:val="skn-mlz2_mid-section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1.xml" /><Relationship Id="rId11" Type="http://schemas.openxmlformats.org/officeDocument/2006/relationships/theme" Target="theme/theme1.xml" /><Relationship Id="rId12" Type="http://schemas.openxmlformats.org/officeDocument/2006/relationships/numbering" Target="numbering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Raghav Iyer</dc:title>
  <cp:revision>0</cp:revision>
</cp:coreProperties>
</file>