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firstsection"/>
        <w:tblW w:w="0" w:type="auto"/>
        <w:tblCellSpacing w:w="0" w:type="dxa"/>
        <w:tblLayout w:type="fixed"/>
        <w:tblCellMar>
          <w:top w:w="0" w:type="dxa"/>
          <w:left w:w="0" w:type="dxa"/>
          <w:bottom w:w="0" w:type="dxa"/>
          <w:right w:w="0" w:type="dxa"/>
        </w:tblCellMar>
        <w:tblLook w:val="05E0"/>
      </w:tblPr>
      <w:tblGrid>
        <w:gridCol w:w="4480"/>
        <w:gridCol w:w="61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80" w:type="dxa"/>
            <w:tcMar>
              <w:top w:w="0" w:type="dxa"/>
              <w:left w:w="0" w:type="dxa"/>
              <w:bottom w:w="20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40"/>
                <w:szCs w:val="40"/>
              </w:rPr>
              <w:t>Raghav</w:t>
            </w:r>
            <w:r>
              <w:rPr>
                <w:rStyle w:val="txt-bold"/>
                <w:rFonts w:ascii="Open Sans" w:eastAsia="Open Sans" w:hAnsi="Open Sans" w:cs="Open Sans"/>
                <w:b/>
                <w:bCs/>
                <w:color w:val="050505"/>
                <w:sz w:val="40"/>
                <w:szCs w:val="40"/>
                <w:bdr w:val="none" w:sz="0" w:space="0" w:color="auto"/>
                <w:vertAlign w:val="baseline"/>
              </w:rPr>
              <w:t xml:space="preserve"> </w:t>
            </w:r>
            <w:r>
              <w:rPr>
                <w:rStyle w:val="span"/>
                <w:rFonts w:ascii="Open Sans" w:eastAsia="Open Sans" w:hAnsi="Open Sans" w:cs="Open Sans"/>
                <w:b/>
                <w:bCs/>
                <w:color w:val="050505"/>
                <w:sz w:val="40"/>
                <w:szCs w:val="40"/>
              </w:rPr>
              <w:t>Mehta</w:t>
            </w:r>
          </w:p>
        </w:tc>
        <w:tc>
          <w:tcPr>
            <w:tcW w:w="6100" w:type="dxa"/>
            <w:tcMar>
              <w:top w:w="0" w:type="dxa"/>
              <w:left w:w="240" w:type="dxa"/>
              <w:bottom w:w="200" w:type="dxa"/>
              <w:right w:w="0" w:type="dxa"/>
            </w:tcMar>
            <w:vAlign w:val="bottom"/>
            <w:hideMark/>
          </w:tcPr>
          <w:p>
            <w:pPr>
              <w:jc w:val="right"/>
              <w:rPr>
                <w:rStyle w:val="txt-bold"/>
                <w:rFonts w:ascii="Open Sans" w:eastAsia="Open Sans" w:hAnsi="Open Sans" w:cs="Open Sans"/>
                <w:b/>
                <w:bCs/>
                <w:color w:val="050505"/>
                <w:sz w:val="40"/>
                <w:szCs w:val="40"/>
                <w:bdr w:val="none" w:sz="0" w:space="0" w:color="auto"/>
                <w:vertAlign w:val="baseline"/>
              </w:rPr>
            </w:pPr>
            <w:r>
              <w:rPr>
                <w:rStyle w:val="span"/>
                <w:rFonts w:ascii="Open Sans" w:eastAsia="Open Sans" w:hAnsi="Open Sans" w:cs="Open Sans"/>
                <w:b/>
                <w:bCs/>
                <w:color w:val="050505"/>
                <w:spacing w:val="23"/>
              </w:rPr>
              <w:t>Credit Manager</w:t>
            </w:r>
          </w:p>
        </w:tc>
      </w:tr>
    </w:tbl>
    <w:p>
      <w:pPr>
        <w:rPr>
          <w:vanish/>
        </w:rPr>
      </w:pPr>
    </w:p>
    <w:tbl>
      <w:tblPr>
        <w:tblStyle w:val="cntc-sec"/>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1760" w:type="dxa"/>
            <w:tcBorders>
              <w:top w:val="single" w:sz="8" w:space="0" w:color="0077C0"/>
              <w:bottom w:val="single" w:sz="8" w:space="0" w:color="0077C0"/>
            </w:tcBorders>
            <w:tcMar>
              <w:top w:w="80" w:type="dxa"/>
              <w:left w:w="200" w:type="dxa"/>
              <w:bottom w:w="200" w:type="dxa"/>
              <w:right w:w="200" w:type="dxa"/>
            </w:tcMar>
            <w:vAlign w:val="bottom"/>
            <w:hideMark/>
          </w:tcPr>
          <w:p>
            <w:pPr>
              <w:pStyle w:val="address"/>
              <w:pBdr>
                <w:top w:val="none" w:sz="0" w:space="0" w:color="auto"/>
                <w:left w:val="none" w:sz="0" w:space="0" w:color="auto"/>
                <w:bottom w:val="none" w:sz="0" w:space="0" w:color="auto"/>
                <w:right w:val="none" w:sz="0" w:space="0" w:color="auto"/>
              </w:pBdr>
              <w:spacing w:before="0" w:line="360" w:lineRule="atLeast"/>
              <w:ind w:left="600" w:right="600"/>
              <w:rPr>
                <w:rStyle w:val="skn-slo5mid-sectionmiddle-boxcntc-secparagraph"/>
                <w:rFonts w:ascii="Open Sans" w:eastAsia="Open Sans" w:hAnsi="Open Sans" w:cs="Open Sans"/>
                <w:color w:val="050505"/>
                <w:sz w:val="20"/>
                <w:szCs w:val="20"/>
                <w:bdr w:val="none" w:sz="0" w:space="0" w:color="auto"/>
                <w:vertAlign w:val="baseline"/>
              </w:rPr>
            </w:pP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+91</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98765</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43210</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8240" behindDoc="0" locked="0" layoutInCell="1" allowOverlap="1">
                  <wp:simplePos x="0" y="0"/>
                  <wp:positionH relativeFrom="character">
                    <wp:posOffset>0</wp:posOffset>
                  </wp:positionH>
                  <wp:positionV relativeFrom="line">
                    <wp:posOffset>82597</wp:posOffset>
                  </wp:positionV>
                  <wp:extent cx="12746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raghav.mehta@example.com</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9264" behindDoc="0" locked="0" layoutInCell="1" allowOverlap="1">
                  <wp:simplePos x="0" y="0"/>
                  <wp:positionH relativeFrom="character">
                    <wp:posOffset>0</wp:posOffset>
                  </wp:positionH>
                  <wp:positionV relativeFrom="line">
                    <wp:posOffset>82597</wp:posOffset>
                  </wp:positionV>
                  <wp:extent cx="127463" cy="12754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Ahmedabad</w:t>
            </w:r>
            <w:r>
              <w:rPr>
                <w:rStyle w:val="addressadd-detailsspan"/>
                <w:rFonts w:ascii="Open Sans" w:eastAsia="Open Sans" w:hAnsi="Open Sans" w:cs="Open Sans"/>
                <w:sz w:val="20"/>
                <w:szCs w:val="20"/>
              </w:rPr>
              <w:t>,</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Gujarat</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380009</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60288" behindDoc="0" locked="0" layoutInCell="1" allowOverlap="1">
                  <wp:simplePos x="0" y="0"/>
                  <wp:positionH relativeFrom="character">
                    <wp:posOffset>0</wp:posOffset>
                  </wp:positionH>
                  <wp:positionV relativeFrom="line">
                    <wp:posOffset>82597</wp:posOffset>
                  </wp:positionV>
                  <wp:extent cx="127463" cy="127540"/>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12</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September</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1987</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xml:space="preserve"> </w:t>
            </w:r>
          </w:p>
        </w:tc>
      </w:tr>
    </w:tbl>
    <w:p>
      <w:pPr>
        <w:rPr>
          <w:vanish/>
        </w:rPr>
      </w:pPr>
    </w:p>
    <w:tbl>
      <w:tblPr>
        <w:tblStyle w:val="parent-container1left-box"/>
        <w:tblW w:w="5000" w:type="pct"/>
        <w:tblCellSpacing w:w="0" w:type="dxa"/>
        <w:tblCellMar>
          <w:top w:w="0" w:type="dxa"/>
          <w:left w:w="0" w:type="dxa"/>
          <w:bottom w:w="0" w:type="dxa"/>
          <w:right w:w="0" w:type="dxa"/>
        </w:tblCellMar>
        <w:tblLook w:val="05E0"/>
      </w:tblPr>
      <w:tblGrid>
        <w:gridCol w:w="10560"/>
      </w:tblGrid>
      <w:tr>
        <w:tblPrEx>
          <w:tblW w:w="5000" w:type="pct"/>
          <w:tblCellSpacing w:w="0" w:type="dxa"/>
          <w:tblCellMar>
            <w:top w:w="0" w:type="dxa"/>
            <w:left w:w="0" w:type="dxa"/>
            <w:bottom w:w="0" w:type="dxa"/>
            <w:right w:w="0" w:type="dxa"/>
          </w:tblCellMar>
          <w:tblLook w:val="05E0"/>
        </w:tblPrEx>
        <w:trPr>
          <w:tblCellSpacing w:w="0" w:type="dxa"/>
        </w:trPr>
        <w:tc>
          <w:tcPr>
            <w:tcW w:w="8800" w:type="dxa"/>
            <w:tcMar>
              <w:top w:w="400" w:type="dxa"/>
              <w:left w:w="0" w:type="dxa"/>
              <w:bottom w:w="0" w:type="dxa"/>
              <w:right w:w="0" w:type="dxa"/>
            </w:tcMar>
            <w:vAlign w:val="top"/>
            <w:hideMark/>
          </w:tcPr>
          <w:p>
            <w:pPr>
              <w:pStyle w:val="summ-gap-div"/>
              <w:pBdr>
                <w:top w:val="none" w:sz="0" w:space="0" w:color="auto"/>
                <w:left w:val="none" w:sz="0" w:space="0" w:color="auto"/>
                <w:bottom w:val="none" w:sz="0" w:space="0" w:color="auto"/>
                <w:right w:val="none" w:sz="0" w:space="0" w:color="auto"/>
              </w:pBdr>
              <w:spacing w:before="0" w:after="0"/>
              <w:ind w:left="0" w:right="0"/>
              <w:rPr>
                <w:rStyle w:val="parent-container1left-boxsumm-sec"/>
                <w:rFonts w:ascii="Open Sans" w:eastAsia="Open Sans" w:hAnsi="Open Sans" w:cs="Open Sans"/>
                <w:color w:val="050505"/>
                <w:sz w:val="8"/>
                <w:szCs w:val="8"/>
                <w:bdr w:val="none" w:sz="0" w:space="0" w:color="auto"/>
                <w:vertAlign w:val="baseline"/>
              </w:rPr>
            </w:pPr>
            <w:r>
              <w:rPr>
                <w:rStyle w:val="parent-container1left-boxsumm-sec"/>
                <w:rFonts w:ascii="Open Sans" w:eastAsia="Open Sans" w:hAnsi="Open Sans" w:cs="Open Sans"/>
                <w:color w:val="050505"/>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Style w:val="parent-container1left-boxsumm-sec"/>
                <w:rFonts w:ascii="Open Sans" w:eastAsia="Open Sans" w:hAnsi="Open Sans" w:cs="Open Sans"/>
                <w:color w:val="505050"/>
                <w:sz w:val="20"/>
                <w:szCs w:val="20"/>
                <w:bdr w:val="none" w:sz="0" w:space="0" w:color="auto"/>
                <w:vertAlign w:val="baseline"/>
              </w:rPr>
            </w:pPr>
            <w:r>
              <w:rPr>
                <w:rStyle w:val="parent-container1left-boxsumm-sec"/>
                <w:rFonts w:ascii="Open Sans" w:eastAsia="Open Sans" w:hAnsi="Open Sans" w:cs="Open Sans"/>
                <w:color w:val="505050"/>
                <w:sz w:val="20"/>
                <w:szCs w:val="20"/>
                <w:bdr w:val="none" w:sz="0" w:space="0" w:color="auto"/>
                <w:vertAlign w:val="baseline"/>
              </w:rPr>
              <w:t>Offering abilities in credit appraisal and risk assessment through financial analysis and stakeholder coordination. Skilled in loan underwriting, policy compliance, and portfolio review with experience in documentation verification and credit monitoring. Committed to supporting business operations with effective MIS reporting and strategic credit management.</w: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Experience</w:t>
      </w:r>
    </w:p>
    <w:p>
      <w:pPr>
        <w:pStyle w:val="txt-caps"/>
        <w:pBdr>
          <w:top w:val="none" w:sz="0" w:space="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0077C0"/>
          <w:spacing w:val="13"/>
          <w:sz w:val="16"/>
          <w:szCs w:val="16"/>
          <w:bdr w:val="none" w:sz="0" w:space="0" w:color="auto"/>
          <w:vertAlign w:val="baseline"/>
        </w:rPr>
      </w:pPr>
      <w:r>
        <w:rPr>
          <w:rStyle w:val="span"/>
          <w:rFonts w:ascii="Open Sans" w:eastAsia="Open Sans" w:hAnsi="Open Sans" w:cs="Open Sans"/>
          <w:b/>
          <w:bCs/>
          <w:caps/>
          <w:color w:val="0077C0"/>
          <w:spacing w:val="13"/>
          <w:sz w:val="16"/>
          <w:szCs w:val="16"/>
        </w:rPr>
        <w:t>Jun '20</w:t>
      </w:r>
      <w:r>
        <w:rPr>
          <w:rStyle w:val="span"/>
          <w:rFonts w:ascii="Open Sans" w:eastAsia="Open Sans" w:hAnsi="Open Sans" w:cs="Open Sans"/>
          <w:b/>
          <w:bCs/>
          <w:caps/>
          <w:color w:val="0077C0"/>
          <w:spacing w:val="13"/>
          <w:sz w:val="16"/>
          <w:szCs w:val="16"/>
        </w:rPr>
        <w:t xml:space="preserve"> - </w:t>
      </w:r>
      <w:r>
        <w:rPr>
          <w:rStyle w:val="span"/>
          <w:rFonts w:ascii="Open Sans" w:eastAsia="Open Sans" w:hAnsi="Open Sans" w:cs="Open Sans"/>
          <w:b/>
          <w:bCs/>
          <w:caps/>
          <w:color w:val="0077C0"/>
          <w:spacing w:val="13"/>
          <w:sz w:val="16"/>
          <w:szCs w:val="16"/>
        </w:rPr>
        <w:t>Present</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Credit Manager</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ICICI Bank Limited</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Ahmedabad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Gujarat</w:t>
      </w:r>
    </w:p>
    <w:p>
      <w:pPr>
        <w:pStyle w:val="expr-seculli"/>
        <w:numPr>
          <w:ilvl w:val="0"/>
          <w:numId w:val="1"/>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Evaluated SME and corporate loan proposals through detailed financial analysis and credit risk assessment.</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Reviewed balance sheets, cash flows, and projections to assess repayment capacity and creditworthiness.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Ensured credit proposals complied with internal credit policies and regulatory guidelines.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Coordinated with sales teams to clarify financial data and credit conditions.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Prepared credit appraisal notes and presented cases to sanctioning authorities.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Monitored sanctioned accounts for early warning signals and portfolio quality.</w:t>
      </w:r>
    </w:p>
    <w:p>
      <w:pPr>
        <w:pStyle w:val="ullinth-last-child1"/>
        <w:numPr>
          <w:ilvl w:val="0"/>
          <w:numId w:val="1"/>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Supported recovery and restructuring discussions for stressed credit accounts.</w:t>
      </w:r>
    </w:p>
    <w:p>
      <w:pPr>
        <w:pStyle w:val="txt-caps"/>
        <w:pBdr>
          <w:top w:val="none" w:sz="0" w:space="1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0077C0"/>
          <w:spacing w:val="13"/>
          <w:sz w:val="16"/>
          <w:szCs w:val="16"/>
          <w:bdr w:val="none" w:sz="0" w:space="0" w:color="auto"/>
          <w:vertAlign w:val="baseline"/>
        </w:rPr>
      </w:pPr>
      <w:r>
        <w:rPr>
          <w:rStyle w:val="span"/>
          <w:rFonts w:ascii="Open Sans" w:eastAsia="Open Sans" w:hAnsi="Open Sans" w:cs="Open Sans"/>
          <w:b/>
          <w:bCs/>
          <w:caps/>
          <w:color w:val="0077C0"/>
          <w:spacing w:val="13"/>
          <w:sz w:val="16"/>
          <w:szCs w:val="16"/>
        </w:rPr>
        <w:t>Jan '17</w:t>
      </w:r>
      <w:r>
        <w:rPr>
          <w:rStyle w:val="span"/>
          <w:rFonts w:ascii="Open Sans" w:eastAsia="Open Sans" w:hAnsi="Open Sans" w:cs="Open Sans"/>
          <w:b/>
          <w:bCs/>
          <w:caps/>
          <w:color w:val="0077C0"/>
          <w:spacing w:val="13"/>
          <w:sz w:val="16"/>
          <w:szCs w:val="16"/>
        </w:rPr>
        <w:t xml:space="preserve"> - </w:t>
      </w:r>
      <w:r>
        <w:rPr>
          <w:rStyle w:val="span"/>
          <w:rFonts w:ascii="Open Sans" w:eastAsia="Open Sans" w:hAnsi="Open Sans" w:cs="Open Sans"/>
          <w:b/>
          <w:bCs/>
          <w:caps/>
          <w:color w:val="0077C0"/>
          <w:spacing w:val="13"/>
          <w:sz w:val="16"/>
          <w:szCs w:val="16"/>
        </w:rPr>
        <w:t>May '20</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Assistant Credit Manager</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HDFC Bank Limited</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Surat</w:t>
      </w:r>
      <w:r>
        <w:rPr>
          <w:rStyle w:val="span"/>
          <w:rFonts w:ascii="Open Sans" w:eastAsia="Open Sans" w:hAnsi="Open Sans" w:cs="Open Sans"/>
          <w:color w:val="050505"/>
          <w:sz w:val="20"/>
          <w:szCs w:val="20"/>
        </w:rPr>
        <w:t xml:space="preserve"> </w:t>
      </w:r>
    </w:p>
    <w:p>
      <w:pPr>
        <w:pStyle w:val="expr-seculli"/>
        <w:numPr>
          <w:ilvl w:val="0"/>
          <w:numId w:val="2"/>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Conducted credit assessment for MSME loan proposals across manufacturing and trading segments.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Verified financial statements, banking conduct, and borrower background information.</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Assisted in preparing credit notes and sanction memos for approval committees.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Ensured timely completion of credit documentation before loan disbursement.</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Monitored account performance and tracked covenant compliance regularly.</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Coordinated with legal and technical teams for collateral valuation and reports.</w:t>
      </w:r>
    </w:p>
    <w:p>
      <w:pPr>
        <w:pStyle w:val="ullinth-last-child1"/>
        <w:numPr>
          <w:ilvl w:val="0"/>
          <w:numId w:val="2"/>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Maintained MIS reports related to approvals, rejections, and portfolio exposure.</w:t>
      </w:r>
    </w:p>
    <w:p>
      <w:pPr>
        <w:pStyle w:val="txt-caps"/>
        <w:pBdr>
          <w:top w:val="none" w:sz="0" w:space="1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0077C0"/>
          <w:spacing w:val="13"/>
          <w:sz w:val="16"/>
          <w:szCs w:val="16"/>
          <w:bdr w:val="none" w:sz="0" w:space="0" w:color="auto"/>
          <w:vertAlign w:val="baseline"/>
        </w:rPr>
      </w:pPr>
      <w:r>
        <w:rPr>
          <w:rStyle w:val="span"/>
          <w:rFonts w:ascii="Open Sans" w:eastAsia="Open Sans" w:hAnsi="Open Sans" w:cs="Open Sans"/>
          <w:b/>
          <w:bCs/>
          <w:caps/>
          <w:color w:val="0077C0"/>
          <w:spacing w:val="13"/>
          <w:sz w:val="16"/>
          <w:szCs w:val="16"/>
        </w:rPr>
        <w:t>Jul '14</w:t>
      </w:r>
      <w:r>
        <w:rPr>
          <w:rStyle w:val="span"/>
          <w:rFonts w:ascii="Open Sans" w:eastAsia="Open Sans" w:hAnsi="Open Sans" w:cs="Open Sans"/>
          <w:b/>
          <w:bCs/>
          <w:caps/>
          <w:color w:val="0077C0"/>
          <w:spacing w:val="13"/>
          <w:sz w:val="16"/>
          <w:szCs w:val="16"/>
        </w:rPr>
        <w:t xml:space="preserve"> - </w:t>
      </w:r>
      <w:r>
        <w:rPr>
          <w:rStyle w:val="span"/>
          <w:rFonts w:ascii="Open Sans" w:eastAsia="Open Sans" w:hAnsi="Open Sans" w:cs="Open Sans"/>
          <w:b/>
          <w:bCs/>
          <w:caps/>
          <w:color w:val="0077C0"/>
          <w:spacing w:val="13"/>
          <w:sz w:val="16"/>
          <w:szCs w:val="16"/>
        </w:rPr>
        <w:t>Dec '16</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Credit Analyst</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Bajaj Finserv Limited</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Vadodara</w:t>
      </w:r>
      <w:r>
        <w:rPr>
          <w:rStyle w:val="span"/>
          <w:rFonts w:ascii="Open Sans" w:eastAsia="Open Sans" w:hAnsi="Open Sans" w:cs="Open Sans"/>
          <w:color w:val="050505"/>
          <w:sz w:val="20"/>
          <w:szCs w:val="20"/>
        </w:rPr>
        <w:t xml:space="preserve"> </w:t>
      </w:r>
    </w:p>
    <w:p>
      <w:pPr>
        <w:pStyle w:val="expr-seculli"/>
        <w:numPr>
          <w:ilvl w:val="0"/>
          <w:numId w:val="3"/>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Analyzed retail and SME loan applications for credit eligibility and risk parameters.</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Reviewed income documents, bank statements, and credit bureau reports.</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Applied internal scorecards and policy norms to evaluate credit proposals.</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Highlighted deviations and risk factors in credit appraisal summaries.</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Supported senior credit managers during high-value loan evaluations.</w:t>
      </w:r>
    </w:p>
    <w:p>
      <w:pPr>
        <w:pStyle w:val="expr-seculli"/>
        <w:numPr>
          <w:ilvl w:val="0"/>
          <w:numId w:val="3"/>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Ensured accurate data entry and record maintenance in credit systems.</w:t>
      </w:r>
    </w:p>
    <w:p>
      <w:pPr>
        <w:pStyle w:val="ullinth-last-child1"/>
        <w:numPr>
          <w:ilvl w:val="0"/>
          <w:numId w:val="3"/>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Assisted in periodic portfolio reviews and delinquency analysis exercises.</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txt-caps"/>
        <w:spacing w:before="0" w:after="100" w:line="200" w:lineRule="atLeast"/>
        <w:ind w:left="0" w:right="0"/>
        <w:rPr>
          <w:rFonts w:ascii="Open Sans" w:eastAsia="Open Sans" w:hAnsi="Open Sans" w:cs="Open Sans"/>
          <w:b/>
          <w:bCs/>
          <w:caps/>
          <w:color w:val="0077C0"/>
          <w:spacing w:val="13"/>
          <w:sz w:val="16"/>
          <w:szCs w:val="16"/>
          <w:bdr w:val="none" w:sz="0" w:space="0" w:color="auto"/>
          <w:vertAlign w:val="baseline"/>
        </w:rPr>
      </w:pPr>
      <w:r>
        <w:rPr>
          <w:rStyle w:val="span"/>
          <w:rFonts w:ascii="Open Sans" w:eastAsia="Open Sans" w:hAnsi="Open Sans" w:cs="Open Sans"/>
          <w:b/>
          <w:bCs/>
          <w:caps/>
          <w:color w:val="0077C0"/>
          <w:spacing w:val="13"/>
          <w:sz w:val="16"/>
          <w:szCs w:val="16"/>
        </w:rPr>
        <w:t>Mar '03</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10th Standard</w:t>
      </w:r>
      <w:r>
        <w:rPr>
          <w:rFonts w:ascii="Open Sans" w:eastAsia="Open Sans" w:hAnsi="Open Sans" w:cs="Open Sans"/>
          <w:b/>
          <w:bCs/>
          <w:color w:val="050505"/>
          <w:spacing w:val="6"/>
          <w:sz w:val="20"/>
          <w:szCs w:val="20"/>
          <w:bdr w:val="none" w:sz="0" w:space="0" w:color="auto"/>
          <w:vertAlign w:val="baseline"/>
        </w:rPr>
        <w:t xml:space="preserve"> </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Delhi Public School</w:t>
      </w:r>
      <w:r>
        <w:rPr>
          <w:rStyle w:val="span"/>
          <w:rFonts w:ascii="Open Sans" w:eastAsia="Open Sans" w:hAnsi="Open Sans" w:cs="Open Sans"/>
          <w:color w:val="050505"/>
          <w:sz w:val="20"/>
          <w:szCs w:val="20"/>
        </w:rPr>
        <w:t xml:space="preserve"> </w:t>
      </w:r>
      <w:r>
        <w:rPr>
          <w:rStyle w:val="span"/>
          <w:rFonts w:ascii="Open Sans" w:eastAsia="Open Sans" w:hAnsi="Open Sans" w:cs="Open Sans"/>
          <w:b/>
          <w:bCs/>
          <w:color w:val="0077C0"/>
          <w:spacing w:val="13"/>
          <w:sz w:val="16"/>
          <w:szCs w:val="16"/>
        </w:rPr>
        <w:t>  </w:t>
      </w:r>
      <w:r>
        <w:rPr>
          <w:rStyle w:val="span"/>
          <w:rFonts w:ascii="Open Sans" w:eastAsia="Open Sans" w:hAnsi="Open Sans" w:cs="Open Sans"/>
          <w:color w:val="050505"/>
          <w:sz w:val="20"/>
          <w:szCs w:val="20"/>
        </w:rPr>
        <w:t xml:space="preserve"> </w:t>
      </w:r>
    </w:p>
    <w:p>
      <w:pPr>
        <w:pStyle w:val="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txt-caps"/>
        <w:spacing w:before="0" w:after="100" w:line="200" w:lineRule="atLeast"/>
        <w:ind w:left="0" w:right="0"/>
        <w:rPr>
          <w:rFonts w:ascii="Open Sans" w:eastAsia="Open Sans" w:hAnsi="Open Sans" w:cs="Open Sans"/>
          <w:b/>
          <w:bCs/>
          <w:caps/>
          <w:color w:val="0077C0"/>
          <w:spacing w:val="13"/>
          <w:sz w:val="16"/>
          <w:szCs w:val="16"/>
          <w:bdr w:val="none" w:sz="0" w:space="0" w:color="auto"/>
          <w:vertAlign w:val="baseline"/>
        </w:rPr>
      </w:pPr>
      <w:r>
        <w:rPr>
          <w:rStyle w:val="span"/>
          <w:rFonts w:ascii="Open Sans" w:eastAsia="Open Sans" w:hAnsi="Open Sans" w:cs="Open Sans"/>
          <w:b/>
          <w:bCs/>
          <w:caps/>
          <w:color w:val="0077C0"/>
          <w:spacing w:val="13"/>
          <w:sz w:val="16"/>
          <w:szCs w:val="16"/>
        </w:rPr>
        <w:t>Mar '05</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12th Standard</w:t>
      </w:r>
      <w:r>
        <w:rPr>
          <w:rFonts w:ascii="Open Sans" w:eastAsia="Open Sans" w:hAnsi="Open Sans" w:cs="Open Sans"/>
          <w:b/>
          <w:bCs/>
          <w:color w:val="050505"/>
          <w:spacing w:val="6"/>
          <w:sz w:val="20"/>
          <w:szCs w:val="20"/>
          <w:bdr w:val="none" w:sz="0" w:space="0" w:color="auto"/>
          <w:vertAlign w:val="baseline"/>
        </w:rPr>
        <w:t xml:space="preserve"> </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Navrachana Higher Secondary School</w:t>
      </w:r>
      <w:r>
        <w:rPr>
          <w:rStyle w:val="span"/>
          <w:rFonts w:ascii="Open Sans" w:eastAsia="Open Sans" w:hAnsi="Open Sans" w:cs="Open Sans"/>
          <w:color w:val="050505"/>
          <w:sz w:val="20"/>
          <w:szCs w:val="20"/>
        </w:rPr>
        <w:t xml:space="preserve"> </w:t>
      </w:r>
      <w:r>
        <w:rPr>
          <w:rStyle w:val="span"/>
          <w:rFonts w:ascii="Open Sans" w:eastAsia="Open Sans" w:hAnsi="Open Sans" w:cs="Open Sans"/>
          <w:b/>
          <w:bCs/>
          <w:color w:val="0077C0"/>
          <w:spacing w:val="13"/>
          <w:sz w:val="16"/>
          <w:szCs w:val="16"/>
        </w:rPr>
        <w:t>  </w:t>
      </w:r>
      <w:r>
        <w:rPr>
          <w:rStyle w:val="span"/>
          <w:rFonts w:ascii="Open Sans" w:eastAsia="Open Sans" w:hAnsi="Open Sans" w:cs="Open Sans"/>
          <w:color w:val="050505"/>
          <w:sz w:val="20"/>
          <w:szCs w:val="20"/>
        </w:rPr>
        <w:t xml:space="preserve"> </w:t>
      </w:r>
    </w:p>
    <w:p>
      <w:pPr>
        <w:pStyle w:val="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txt-caps"/>
        <w:spacing w:before="0" w:after="100" w:line="200" w:lineRule="atLeast"/>
        <w:ind w:left="0" w:right="0"/>
        <w:rPr>
          <w:rFonts w:ascii="Open Sans" w:eastAsia="Open Sans" w:hAnsi="Open Sans" w:cs="Open Sans"/>
          <w:b/>
          <w:bCs/>
          <w:caps/>
          <w:color w:val="0077C0"/>
          <w:spacing w:val="13"/>
          <w:sz w:val="16"/>
          <w:szCs w:val="16"/>
          <w:bdr w:val="none" w:sz="0" w:space="0" w:color="auto"/>
          <w:vertAlign w:val="baseline"/>
        </w:rPr>
      </w:pPr>
      <w:r>
        <w:rPr>
          <w:rStyle w:val="span"/>
          <w:rFonts w:ascii="Open Sans" w:eastAsia="Open Sans" w:hAnsi="Open Sans" w:cs="Open Sans"/>
          <w:b/>
          <w:bCs/>
          <w:caps/>
          <w:color w:val="0077C0"/>
          <w:spacing w:val="13"/>
          <w:sz w:val="16"/>
          <w:szCs w:val="16"/>
        </w:rPr>
        <w:t>Apr '08</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Bachelor of Commerce (B.Com)</w:t>
      </w:r>
      <w:r>
        <w:rPr>
          <w:rFonts w:ascii="Open Sans" w:eastAsia="Open Sans" w:hAnsi="Open Sans" w:cs="Open Sans"/>
          <w:b/>
          <w:bCs/>
          <w:color w:val="050505"/>
          <w:spacing w:val="6"/>
          <w:sz w:val="20"/>
          <w:szCs w:val="20"/>
          <w:bdr w:val="none" w:sz="0" w:space="0" w:color="auto"/>
          <w:vertAlign w:val="baseline"/>
        </w:rPr>
        <w:t xml:space="preserve"> </w:t>
      </w:r>
      <w:r>
        <w:rPr>
          <w:rStyle w:val="span"/>
          <w:rFonts w:ascii="Open Sans" w:eastAsia="Open Sans" w:hAnsi="Open Sans" w:cs="Open Sans"/>
          <w:b/>
          <w:bCs/>
          <w:color w:val="050505"/>
          <w:spacing w:val="6"/>
          <w:sz w:val="20"/>
          <w:szCs w:val="20"/>
        </w:rPr>
        <w:t xml:space="preserve">in </w:t>
      </w:r>
      <w:r>
        <w:rPr>
          <w:rStyle w:val="span"/>
          <w:rFonts w:ascii="Open Sans" w:eastAsia="Open Sans" w:hAnsi="Open Sans" w:cs="Open Sans"/>
          <w:b/>
          <w:bCs/>
          <w:color w:val="050505"/>
          <w:spacing w:val="6"/>
          <w:sz w:val="20"/>
          <w:szCs w:val="20"/>
        </w:rPr>
        <w:t>Finance</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Maharaja Sayajirao University</w:t>
      </w:r>
      <w:r>
        <w:rPr>
          <w:rStyle w:val="span"/>
          <w:rFonts w:ascii="Open Sans" w:eastAsia="Open Sans" w:hAnsi="Open Sans" w:cs="Open Sans"/>
          <w:color w:val="050505"/>
          <w:sz w:val="20"/>
          <w:szCs w:val="20"/>
        </w:rPr>
        <w:t xml:space="preserve"> </w:t>
      </w:r>
      <w:r>
        <w:rPr>
          <w:rStyle w:val="span"/>
          <w:rFonts w:ascii="Open Sans" w:eastAsia="Open Sans" w:hAnsi="Open Sans" w:cs="Open Sans"/>
          <w:b/>
          <w:bCs/>
          <w:color w:val="0077C0"/>
          <w:spacing w:val="13"/>
          <w:sz w:val="16"/>
          <w:szCs w:val="16"/>
        </w:rPr>
        <w:t>  </w:t>
      </w:r>
      <w:r>
        <w:rPr>
          <w:rStyle w:val="span"/>
          <w:rFonts w:ascii="Open Sans" w:eastAsia="Open Sans" w:hAnsi="Open Sans" w:cs="Open Sans"/>
          <w:color w:val="050505"/>
          <w:sz w:val="20"/>
          <w:szCs w:val="20"/>
        </w:rPr>
        <w:t xml:space="preserve"> </w:t>
      </w:r>
    </w:p>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Skills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9789"/>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789" w:type="dxa"/>
            <w:tcMar>
              <w:top w:w="0" w:type="dxa"/>
              <w:left w:w="0" w:type="dxa"/>
              <w:bottom w:w="0" w:type="dxa"/>
              <w:right w:w="0" w:type="dxa"/>
            </w:tcMar>
            <w:vAlign w:val="bottom"/>
            <w:hideMark/>
          </w:tcPr>
          <w:p>
            <w:r>
              <w:pict>
                <v:shapetype id="_x0000_t202" coordsize="21600,21600" o:spt="202" path="m,l,21600r21600,l21600,xe">
                  <v:stroke joinstyle="miter"/>
                  <v:path gradientshapeok="t" o:connecttype="rect"/>
                </v:shapetype>
                <v:shape id="_x0000_s1025" type="#_x0000_t202" style="width:0;height:0;margin-top:0;margin-left:0;mso-position-horizontal:left;mso-position-vertical:top;mso-wrap-distance-bottom:10pt;mso-wrap-distance-top:10pt;mso-wrap-style:none;position:absolute;z-index:25166131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0077C0"/>
                            <w:sz w:val="20"/>
                            <w:szCs w:val="20"/>
                            <w:bdr w:val="none" w:sz="0" w:space="0" w:color="auto"/>
                            <w:vertAlign w:val="baseline"/>
                          </w:rPr>
                        </w:pPr>
                        <w:r>
                          <w:rPr>
                            <w:rStyle w:val="sectioncmn-secsinglecolumnskill-container"/>
                            <w:rFonts w:ascii="Open Sans" w:eastAsia="Open Sans" w:hAnsi="Open Sans" w:cs="Open Sans"/>
                            <w:color w:val="0077C0"/>
                            <w:sz w:val="20"/>
                            <w:szCs w:val="20"/>
                            <w:bdr w:val="none" w:sz="0" w:space="0" w:color="auto"/>
                            <w:vertAlign w:val="baseline"/>
                          </w:rPr>
                          <w:t>Credit Appraisal</w:t>
                        </w:r>
                      </w:p>
                    </w:txbxContent>
                  </v:textbox>
                  <w10:wrap type="square"/>
                </v:shape>
              </w:pict>
            </w:r>
            <w:r>
              <w:pict>
                <v:shape id="_x0000_s1026" type="#_x0000_t202" style="width:0;height:0;margin-top:0;margin-left:0;mso-position-horizontal:left;mso-position-vertical:top;mso-wrap-distance-bottom:10pt;mso-wrap-distance-top:10pt;mso-wrap-style:none;position:absolute;z-index:25166233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0077C0"/>
                            <w:sz w:val="20"/>
                            <w:szCs w:val="20"/>
                            <w:bdr w:val="none" w:sz="0" w:space="0" w:color="auto"/>
                            <w:vertAlign w:val="baseline"/>
                          </w:rPr>
                        </w:pPr>
                        <w:r>
                          <w:rPr>
                            <w:rStyle w:val="sectioncmn-secsinglecolumnskill-container"/>
                            <w:rFonts w:ascii="Open Sans" w:eastAsia="Open Sans" w:hAnsi="Open Sans" w:cs="Open Sans"/>
                            <w:color w:val="0077C0"/>
                            <w:sz w:val="20"/>
                            <w:szCs w:val="20"/>
                            <w:bdr w:val="none" w:sz="0" w:space="0" w:color="auto"/>
                            <w:vertAlign w:val="baseline"/>
                          </w:rPr>
                          <w:t>Financial Analysis</w:t>
                        </w:r>
                      </w:p>
                    </w:txbxContent>
                  </v:textbox>
                  <w10:wrap type="square"/>
                </v:shape>
              </w:pict>
            </w:r>
            <w:r>
              <w:pict>
                <v:shape id="_x0000_s1027" type="#_x0000_t202" style="width:0;height:0;margin-top:0;margin-left:0;mso-position-horizontal:left;mso-position-vertical:top;mso-wrap-distance-bottom:10pt;mso-wrap-distance-top:10pt;mso-wrap-style:none;position:absolute;z-index:25166336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0077C0"/>
                            <w:sz w:val="20"/>
                            <w:szCs w:val="20"/>
                            <w:bdr w:val="none" w:sz="0" w:space="0" w:color="auto"/>
                            <w:vertAlign w:val="baseline"/>
                          </w:rPr>
                        </w:pPr>
                        <w:r>
                          <w:rPr>
                            <w:rStyle w:val="sectioncmn-secsinglecolumnskill-container"/>
                            <w:rFonts w:ascii="Open Sans" w:eastAsia="Open Sans" w:hAnsi="Open Sans" w:cs="Open Sans"/>
                            <w:color w:val="0077C0"/>
                            <w:sz w:val="20"/>
                            <w:szCs w:val="20"/>
                            <w:bdr w:val="none" w:sz="0" w:space="0" w:color="auto"/>
                            <w:vertAlign w:val="baseline"/>
                          </w:rPr>
                          <w:t>Risk Assessment</w:t>
                        </w:r>
                      </w:p>
                    </w:txbxContent>
                  </v:textbox>
                  <w10:wrap type="square"/>
                </v:shape>
              </w:pict>
            </w:r>
            <w:r>
              <w:pict>
                <v:shape id="_x0000_s1028" type="#_x0000_t202" style="width:0;height:0;margin-top:0;margin-left:0;mso-position-horizontal:left;mso-position-vertical:top;mso-wrap-distance-bottom:10pt;mso-wrap-distance-top:10pt;mso-wrap-style:none;position:absolute;z-index:25166438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0077C0"/>
                            <w:sz w:val="20"/>
                            <w:szCs w:val="20"/>
                            <w:bdr w:val="none" w:sz="0" w:space="0" w:color="auto"/>
                            <w:vertAlign w:val="baseline"/>
                          </w:rPr>
                        </w:pPr>
                        <w:r>
                          <w:rPr>
                            <w:rStyle w:val="sectioncmn-secsinglecolumnskill-container"/>
                            <w:rFonts w:ascii="Open Sans" w:eastAsia="Open Sans" w:hAnsi="Open Sans" w:cs="Open Sans"/>
                            <w:color w:val="0077C0"/>
                            <w:sz w:val="20"/>
                            <w:szCs w:val="20"/>
                            <w:bdr w:val="none" w:sz="0" w:space="0" w:color="auto"/>
                            <w:vertAlign w:val="baseline"/>
                          </w:rPr>
                          <w:t>Loan Underwriting</w:t>
                        </w:r>
                      </w:p>
                    </w:txbxContent>
                  </v:textbox>
                  <w10:wrap type="square"/>
                </v:shape>
              </w:pict>
            </w:r>
            <w:r>
              <w:pict>
                <v:shape id="_x0000_s1029" type="#_x0000_t202" style="width:0;height:0;margin-top:0;margin-left:0;mso-position-horizontal:left;mso-position-vertical:top;mso-wrap-distance-bottom:10pt;mso-wrap-distance-top:10pt;mso-wrap-style:none;position:absolute;z-index:251665408"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0077C0"/>
                            <w:sz w:val="20"/>
                            <w:szCs w:val="20"/>
                            <w:bdr w:val="none" w:sz="0" w:space="0" w:color="auto"/>
                            <w:vertAlign w:val="baseline"/>
                          </w:rPr>
                        </w:pPr>
                        <w:r>
                          <w:rPr>
                            <w:rStyle w:val="sectioncmn-secsinglecolumnskill-container"/>
                            <w:rFonts w:ascii="Open Sans" w:eastAsia="Open Sans" w:hAnsi="Open Sans" w:cs="Open Sans"/>
                            <w:color w:val="0077C0"/>
                            <w:sz w:val="20"/>
                            <w:szCs w:val="20"/>
                            <w:bdr w:val="none" w:sz="0" w:space="0" w:color="auto"/>
                            <w:vertAlign w:val="baseline"/>
                          </w:rPr>
                          <w:t>Policy Compliance</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9460"/>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460" w:type="dxa"/>
            <w:tcMar>
              <w:top w:w="0" w:type="dxa"/>
              <w:left w:w="0" w:type="dxa"/>
              <w:bottom w:w="0" w:type="dxa"/>
              <w:right w:w="0" w:type="dxa"/>
            </w:tcMar>
            <w:vAlign w:val="bottom"/>
            <w:hideMark/>
          </w:tcPr>
          <w:p>
            <w:r>
              <w:pict>
                <v:shape id="_x0000_s1030" type="#_x0000_t202" style="width:0;height:0;margin-top:0;margin-left:0;mso-position-horizontal:left;mso-position-vertical:top;mso-wrap-distance-bottom:10pt;mso-wrap-distance-top:10pt;mso-wrap-style:none;position:absolute;z-index:25166643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0077C0"/>
                            <w:sz w:val="20"/>
                            <w:szCs w:val="20"/>
                            <w:bdr w:val="none" w:sz="0" w:space="0" w:color="auto"/>
                            <w:vertAlign w:val="baseline"/>
                          </w:rPr>
                        </w:pPr>
                        <w:r>
                          <w:rPr>
                            <w:rStyle w:val="sectioncmn-secsinglecolumnskill-container"/>
                            <w:rFonts w:ascii="Open Sans" w:eastAsia="Open Sans" w:hAnsi="Open Sans" w:cs="Open Sans"/>
                            <w:color w:val="0077C0"/>
                            <w:sz w:val="20"/>
                            <w:szCs w:val="20"/>
                            <w:bdr w:val="none" w:sz="0" w:space="0" w:color="auto"/>
                            <w:vertAlign w:val="baseline"/>
                          </w:rPr>
                          <w:t>Credit Monitoring</w:t>
                        </w:r>
                      </w:p>
                    </w:txbxContent>
                  </v:textbox>
                  <w10:wrap type="square"/>
                </v:shape>
              </w:pict>
            </w:r>
            <w:r>
              <w:pict>
                <v:shape id="_x0000_s1031" type="#_x0000_t202" style="width:0;height:0;margin-top:0;margin-left:0;mso-position-horizontal:left;mso-position-vertical:top;mso-wrap-distance-bottom:10pt;mso-wrap-distance-top:10pt;mso-wrap-style:none;position:absolute;z-index:25166745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0077C0"/>
                            <w:sz w:val="20"/>
                            <w:szCs w:val="20"/>
                            <w:bdr w:val="none" w:sz="0" w:space="0" w:color="auto"/>
                            <w:vertAlign w:val="baseline"/>
                          </w:rPr>
                        </w:pPr>
                        <w:r>
                          <w:rPr>
                            <w:rStyle w:val="sectioncmn-secsinglecolumnskill-container"/>
                            <w:rFonts w:ascii="Open Sans" w:eastAsia="Open Sans" w:hAnsi="Open Sans" w:cs="Open Sans"/>
                            <w:color w:val="0077C0"/>
                            <w:sz w:val="20"/>
                            <w:szCs w:val="20"/>
                            <w:bdr w:val="none" w:sz="0" w:space="0" w:color="auto"/>
                            <w:vertAlign w:val="baseline"/>
                          </w:rPr>
                          <w:t>Portfolio Review</w:t>
                        </w:r>
                      </w:p>
                    </w:txbxContent>
                  </v:textbox>
                  <w10:wrap type="square"/>
                </v:shape>
              </w:pict>
            </w:r>
            <w:r>
              <w:pict>
                <v:shape id="_x0000_s1032" type="#_x0000_t202" style="width:0;height:0;margin-top:0;margin-left:0;mso-position-horizontal:left;mso-position-vertical:top;mso-wrap-distance-bottom:10pt;mso-wrap-distance-top:10pt;mso-wrap-style:none;position:absolute;z-index:25166848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0077C0"/>
                            <w:sz w:val="20"/>
                            <w:szCs w:val="20"/>
                            <w:bdr w:val="none" w:sz="0" w:space="0" w:color="auto"/>
                            <w:vertAlign w:val="baseline"/>
                          </w:rPr>
                        </w:pPr>
                        <w:r>
                          <w:rPr>
                            <w:rStyle w:val="sectioncmn-secsinglecolumnskill-container"/>
                            <w:rFonts w:ascii="Open Sans" w:eastAsia="Open Sans" w:hAnsi="Open Sans" w:cs="Open Sans"/>
                            <w:color w:val="0077C0"/>
                            <w:sz w:val="20"/>
                            <w:szCs w:val="20"/>
                            <w:bdr w:val="none" w:sz="0" w:space="0" w:color="auto"/>
                            <w:vertAlign w:val="baseline"/>
                          </w:rPr>
                          <w:t>Documentation Verification</w:t>
                        </w:r>
                      </w:p>
                    </w:txbxContent>
                  </v:textbox>
                  <w10:wrap type="square"/>
                </v:shape>
              </w:pict>
            </w:r>
            <w:r>
              <w:pict>
                <v:shape id="_x0000_s1033" type="#_x0000_t202" style="width:0;height:0;margin-top:0;margin-left:0;mso-position-horizontal:left;mso-position-vertical:top;mso-wrap-distance-bottom:10pt;mso-wrap-distance-top:10pt;mso-wrap-style:none;position:absolute;z-index:25166950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0077C0"/>
                            <w:sz w:val="20"/>
                            <w:szCs w:val="20"/>
                            <w:bdr w:val="none" w:sz="0" w:space="0" w:color="auto"/>
                            <w:vertAlign w:val="baseline"/>
                          </w:rPr>
                        </w:pPr>
                        <w:r>
                          <w:rPr>
                            <w:rStyle w:val="sectioncmn-secsinglecolumnskill-container"/>
                            <w:rFonts w:ascii="Open Sans" w:eastAsia="Open Sans" w:hAnsi="Open Sans" w:cs="Open Sans"/>
                            <w:color w:val="0077C0"/>
                            <w:sz w:val="20"/>
                            <w:szCs w:val="20"/>
                            <w:bdr w:val="none" w:sz="0" w:space="0" w:color="auto"/>
                            <w:vertAlign w:val="baseline"/>
                          </w:rPr>
                          <w:t>Stakeholder Coordination</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1731"/>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1731" w:type="dxa"/>
            <w:tcMar>
              <w:top w:w="0" w:type="dxa"/>
              <w:left w:w="0" w:type="dxa"/>
              <w:bottom w:w="0" w:type="dxa"/>
              <w:right w:w="0" w:type="dxa"/>
            </w:tcMar>
            <w:vAlign w:val="bottom"/>
            <w:hideMark/>
          </w:tcPr>
          <w:p>
            <w:r>
              <w:pict>
                <v:shape id="_x0000_s1034" type="#_x0000_t202" style="width:0;height:0;margin-top:0;margin-left:0;mso-position-horizontal:left;mso-position-vertical:top;mso-wrap-distance-bottom:10pt;mso-wrap-distance-top:10pt;mso-wrap-style:none;position:absolute;z-index:251670528"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0077C0"/>
                            <w:sz w:val="20"/>
                            <w:szCs w:val="20"/>
                            <w:bdr w:val="none" w:sz="0" w:space="0" w:color="auto"/>
                            <w:vertAlign w:val="baseline"/>
                          </w:rPr>
                        </w:pPr>
                        <w:r>
                          <w:rPr>
                            <w:rStyle w:val="sectioncmn-secsinglecolumnskill-container"/>
                            <w:rFonts w:ascii="Open Sans" w:eastAsia="Open Sans" w:hAnsi="Open Sans" w:cs="Open Sans"/>
                            <w:color w:val="0077C0"/>
                            <w:sz w:val="20"/>
                            <w:szCs w:val="20"/>
                            <w:bdr w:val="none" w:sz="0" w:space="0" w:color="auto"/>
                            <w:vertAlign w:val="baseline"/>
                          </w:rPr>
                          <w:t>MIS Reporting</w:t>
                        </w:r>
                      </w:p>
                    </w:txbxContent>
                  </v:textbox>
                  <w10:wrap type="square"/>
                </v:shape>
              </w:pict>
            </w:r>
          </w:p>
        </w:tc>
      </w:tr>
    </w:tbl>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Certifications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8185"/>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8185" w:type="dxa"/>
            <w:tcMar>
              <w:top w:w="0" w:type="dxa"/>
              <w:left w:w="0" w:type="dxa"/>
              <w:bottom w:w="0" w:type="dxa"/>
              <w:right w:w="0" w:type="dxa"/>
            </w:tcMar>
            <w:vAlign w:val="bottom"/>
            <w:hideMark/>
          </w:tcPr>
          <w:p>
            <w:r>
              <w:pict>
                <v:shape id="_x0000_s1035" type="#_x0000_t202" style="width:0;height:0;margin-top:0;margin-left:0;mso-position-horizontal:left;mso-position-vertical:top;mso-wrap-distance-bottom:10pt;mso-wrap-distance-top:10pt;mso-wrap-style:none;position:absolute;z-index:25167155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0077C0"/>
                            <w:sz w:val="20"/>
                            <w:szCs w:val="20"/>
                            <w:bdr w:val="none" w:sz="0" w:space="0" w:color="auto"/>
                            <w:vertAlign w:val="baseline"/>
                          </w:rPr>
                        </w:pPr>
                        <w:r>
                          <w:rPr>
                            <w:rStyle w:val="sectioncmn-secsinglecolumnskill-container"/>
                            <w:rFonts w:ascii="Open Sans" w:eastAsia="Open Sans" w:hAnsi="Open Sans" w:cs="Open Sans"/>
                            <w:color w:val="0077C0"/>
                            <w:sz w:val="20"/>
                            <w:szCs w:val="20"/>
                            <w:bdr w:val="none" w:sz="0" w:space="0" w:color="auto"/>
                            <w:vertAlign w:val="baseline"/>
                          </w:rPr>
                          <w:t>IIBF Certificate in MSME Credit</w:t>
                        </w:r>
                      </w:p>
                    </w:txbxContent>
                  </v:textbox>
                  <w10:wrap type="square"/>
                </v:shape>
              </w:pict>
            </w:r>
            <w:r>
              <w:pict>
                <v:shape id="_x0000_s1036" type="#_x0000_t202" style="width:0;height:0;margin-top:0;margin-left:0;mso-position-horizontal:left;mso-position-vertical:top;mso-wrap-distance-bottom:10pt;mso-wrap-distance-top:10pt;mso-wrap-style:none;position:absolute;z-index:25167257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0077C0"/>
                            <w:sz w:val="20"/>
                            <w:szCs w:val="20"/>
                            <w:bdr w:val="none" w:sz="0" w:space="0" w:color="auto"/>
                            <w:vertAlign w:val="baseline"/>
                          </w:rPr>
                        </w:pPr>
                        <w:r>
                          <w:rPr>
                            <w:rStyle w:val="sectioncmn-secsinglecolumnskill-container"/>
                            <w:rFonts w:ascii="Open Sans" w:eastAsia="Open Sans" w:hAnsi="Open Sans" w:cs="Open Sans"/>
                            <w:color w:val="0077C0"/>
                            <w:sz w:val="20"/>
                            <w:szCs w:val="20"/>
                            <w:bdr w:val="none" w:sz="0" w:space="0" w:color="auto"/>
                            <w:vertAlign w:val="baseline"/>
                          </w:rPr>
                          <w:t>NSE Academy Certification in Banking and Finance</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6684"/>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6684" w:type="dxa"/>
            <w:tcMar>
              <w:top w:w="0" w:type="dxa"/>
              <w:left w:w="0" w:type="dxa"/>
              <w:bottom w:w="0" w:type="dxa"/>
              <w:right w:w="0" w:type="dxa"/>
            </w:tcMar>
            <w:vAlign w:val="bottom"/>
            <w:hideMark/>
          </w:tcPr>
          <w:p>
            <w:r>
              <w:pict>
                <v:shape id="_x0000_s1037" type="#_x0000_t202" style="width:0;height:0;margin-top:0;margin-left:0;mso-position-horizontal:left;mso-position-vertical:top;mso-wrap-distance-bottom:10pt;mso-wrap-distance-top:10pt;mso-wrap-style:none;position:absolute;z-index:25167360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0077C0"/>
                            <w:sz w:val="20"/>
                            <w:szCs w:val="20"/>
                            <w:bdr w:val="none" w:sz="0" w:space="0" w:color="auto"/>
                            <w:vertAlign w:val="baseline"/>
                          </w:rPr>
                        </w:pPr>
                        <w:r>
                          <w:rPr>
                            <w:rStyle w:val="sectioncmn-secsinglecolumnskill-container"/>
                            <w:rFonts w:ascii="Open Sans" w:eastAsia="Open Sans" w:hAnsi="Open Sans" w:cs="Open Sans"/>
                            <w:color w:val="0077C0"/>
                            <w:sz w:val="20"/>
                            <w:szCs w:val="20"/>
                            <w:bdr w:val="none" w:sz="0" w:space="0" w:color="auto"/>
                            <w:vertAlign w:val="baseline"/>
                          </w:rPr>
                          <w:t>Certified Credit Professional, Indian Institute of Banking and Finance</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4679"/>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4679" w:type="dxa"/>
            <w:tcMar>
              <w:top w:w="0" w:type="dxa"/>
              <w:left w:w="0" w:type="dxa"/>
              <w:bottom w:w="0" w:type="dxa"/>
              <w:right w:w="0" w:type="dxa"/>
            </w:tcMar>
            <w:vAlign w:val="bottom"/>
            <w:hideMark/>
          </w:tcPr>
          <w:p>
            <w:r>
              <w:pict>
                <v:shape id="_x0000_s1038" type="#_x0000_t202" style="width:0;height:0;margin-top:0;margin-left:0;mso-position-horizontal:left;mso-position-vertical:top;mso-wrap-distance-bottom:10pt;mso-wrap-distance-top:10pt;mso-wrap-style:none;position:absolute;z-index:25167462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0077C0"/>
                            <w:sz w:val="20"/>
                            <w:szCs w:val="20"/>
                            <w:bdr w:val="none" w:sz="0" w:space="0" w:color="auto"/>
                            <w:vertAlign w:val="baseline"/>
                          </w:rPr>
                        </w:pPr>
                        <w:r>
                          <w:rPr>
                            <w:rStyle w:val="sectioncmn-secsinglecolumnskill-container"/>
                            <w:rFonts w:ascii="Open Sans" w:eastAsia="Open Sans" w:hAnsi="Open Sans" w:cs="Open Sans"/>
                            <w:color w:val="0077C0"/>
                            <w:sz w:val="20"/>
                            <w:szCs w:val="20"/>
                            <w:bdr w:val="none" w:sz="0" w:space="0" w:color="auto"/>
                            <w:vertAlign w:val="baseline"/>
                          </w:rPr>
                          <w:t>Certificate Course in Credit Management, ICAI</w:t>
                        </w:r>
                      </w:p>
                    </w:txbxContent>
                  </v:textbox>
                  <w10:wrap type="square"/>
                </v:shape>
              </w:pic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Projects</w:t>
      </w:r>
    </w:p>
    <w:p>
      <w:pPr>
        <w:pStyle w:val="light-txt"/>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505050"/>
          <w:sz w:val="20"/>
          <w:szCs w:val="20"/>
          <w:bdr w:val="none" w:sz="0" w:space="0" w:color="auto"/>
          <w:vertAlign w:val="baseline"/>
        </w:rPr>
      </w:pPr>
      <w:r>
        <w:rPr>
          <w:rFonts w:ascii="Open Sans" w:eastAsia="Open Sans" w:hAnsi="Open Sans" w:cs="Open Sans"/>
          <w:sz w:val="20"/>
          <w:szCs w:val="20"/>
          <w:bdr w:val="none" w:sz="0" w:space="0" w:color="auto"/>
          <w:vertAlign w:val="baseline"/>
        </w:rPr>
        <w:t>SME Credit Policy Review, Supported revision of credit parameters for MSME lending segment. Portfolio Stress Analysis, Conducted analysis to identify early risk indicators in loan accounts.</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Industry</w:t>
      </w:r>
    </w:p>
    <w:p>
      <w:pPr>
        <w:pStyle w:val="light-txt"/>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505050"/>
          <w:sz w:val="20"/>
          <w:szCs w:val="20"/>
          <w:bdr w:val="none" w:sz="0" w:space="0" w:color="auto"/>
          <w:vertAlign w:val="baseline"/>
        </w:rPr>
      </w:pPr>
      <w:r>
        <w:rPr>
          <w:rFonts w:ascii="Open Sans" w:eastAsia="Open Sans" w:hAnsi="Open Sans" w:cs="Open Sans"/>
          <w:sz w:val="20"/>
          <w:szCs w:val="20"/>
          <w:bdr w:val="none" w:sz="0" w:space="0" w:color="auto"/>
          <w:vertAlign w:val="baseline"/>
        </w:rPr>
        <w:t>Banking and Financial Services</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Accomplishments</w:t>
      </w:r>
    </w:p>
    <w:p>
      <w:pPr>
        <w:pStyle w:val="ulli"/>
        <w:numPr>
          <w:ilvl w:val="0"/>
          <w:numId w:val="4"/>
        </w:numPr>
        <w:pBdr>
          <w:top w:val="none" w:sz="0" w:space="0" w:color="auto"/>
          <w:left w:val="none" w:sz="0" w:space="0" w:color="auto"/>
          <w:bottom w:val="none" w:sz="0" w:space="0" w:color="auto"/>
          <w:right w:val="none" w:sz="0" w:space="0" w:color="auto"/>
        </w:pBdr>
        <w:spacing w:before="160" w:after="10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Improved SME portfolio quality at ICICI Bank Limited through timely risk identification.</w:t>
      </w:r>
    </w:p>
    <w:p>
      <w:pPr>
        <w:pStyle w:val="ulli"/>
        <w:numPr>
          <w:ilvl w:val="0"/>
          <w:numId w:val="4"/>
        </w:numPr>
        <w:spacing w:after="10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Recognized for accurate credit appraisal turnaround at HDFC Bank Limited.</w:t>
      </w:r>
    </w:p>
    <w:p>
      <w:pPr>
        <w:pStyle w:val="ullinth-last-child1"/>
        <w:numPr>
          <w:ilvl w:val="0"/>
          <w:numId w:val="4"/>
        </w:numPr>
        <w:pBdr>
          <w:left w:val="none" w:sz="0" w:space="10" w:color="auto"/>
        </w:pBdr>
        <w:spacing w:after="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Appreciated for consistent credit quality scores at Bajaj Finserv Limited.</w:t>
      </w:r>
    </w:p>
    <w:p>
      <w:pPr>
        <w:pStyle w:val="refrencesection-title"/>
        <w:pBdr>
          <w:top w:val="none" w:sz="0" w:space="0" w:color="auto"/>
          <w:left w:val="none" w:sz="0" w:space="0" w:color="auto"/>
          <w:bottom w:val="none" w:sz="0" w:space="0" w:color="auto"/>
          <w:right w:val="none" w:sz="0" w:space="0" w:color="auto"/>
        </w:pBdr>
        <w:spacing w:before="400" w:after="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References</w:t>
      </w:r>
    </w:p>
    <w:p>
      <w:pPr>
        <w:pStyle w:val="sectionrefrenceparagraphrefUponReq"/>
        <w:pBdr>
          <w:top w:val="none" w:sz="0" w:space="0" w:color="auto"/>
          <w:left w:val="none" w:sz="0" w:space="0" w:color="auto"/>
          <w:bottom w:val="none" w:sz="0" w:space="0" w:color="auto"/>
          <w:right w:val="none" w:sz="0" w:space="0" w:color="auto"/>
        </w:pBdr>
        <w:spacing w:before="0" w:after="0" w:line="240" w:lineRule="atLeast"/>
        <w:ind w:left="0" w:right="0"/>
        <w:textAlignment w:val="top"/>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References available upon request</w:t>
      </w:r>
    </w:p>
    <w:sectPr>
      <w:pgSz w:w="12240" w:h="15840"/>
      <w:pgMar w:top="880" w:right="840" w:bottom="880" w:left="840" w:header="720" w:footer="720"/>
      <w:cols w:space="720"/>
    </w:sectPr>
  </w:body>
</w:document>
</file>

<file path=word/fontTable.xml><?xml version="1.0" encoding="utf-8"?>
<w:fonts xmlns:r="http://schemas.openxmlformats.org/officeDocument/2006/relationships" xmlns:w="http://schemas.openxmlformats.org/wordprocessingml/2006/main">
  <w:font w:name="Cambria Math">
    <w:charset w:val="00"/>
    <w:family w:val="auto"/>
    <w:pitch w:val="default"/>
    <w:sig w:usb0="00000000" w:usb1="00000000" w:usb2="00000000" w:usb3="00000000" w:csb0="00000001" w:csb1="00000000"/>
    <w:embedRegular r:id="rId1" w:fontKey="{7E271257-A5E3-4469-B19A-2B36F64A2792}"/>
  </w:font>
  <w:font w:name="Courier New">
    <w:charset w:val="00"/>
    <w:family w:val="auto"/>
    <w:pitch w:val="default"/>
  </w:font>
  <w:font w:name="Manrope">
    <w:charset w:val="00"/>
    <w:family w:val="auto"/>
    <w:pitch w:val="default"/>
    <w:embedRegular r:id="rId2" w:fontKey="{7A72E361-B099-40DF-AD25-B5218D9D7B86}"/>
  </w:font>
  <w:font w:name="Open Sans">
    <w:charset w:val="00"/>
    <w:family w:val="auto"/>
    <w:pitch w:val="default"/>
    <w:sig w:usb0="00000000" w:usb1="00000000" w:usb2="00000000" w:usb3="00000000" w:csb0="00000001" w:csb1="00000000"/>
    <w:embedRegular r:id="rId3" w:fontKey="{4C3DC077-F389-4EB2-A66F-7D6FC9A3416F}"/>
    <w:embedBold r:id="rId4" w:fontKey="{9FDC660E-837F-434F-814B-CBA05EF53D05}"/>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0077C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0077C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0077C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0077C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fontsize">
    <w:name w:val="document_fontsize"/>
    <w:basedOn w:val="Normal"/>
    <w:rPr>
      <w:sz w:val="20"/>
      <w:szCs w:val="20"/>
    </w:rPr>
  </w:style>
  <w:style w:type="paragraph" w:customStyle="1" w:styleId="top-section">
    <w:name w:val="top-section"/>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txt-bold">
    <w:name w:val="txt-bold"/>
    <w:basedOn w:val="DefaultParagraphFont"/>
    <w:rPr>
      <w:b/>
      <w:bCs/>
    </w:rPr>
  </w:style>
  <w:style w:type="character" w:customStyle="1" w:styleId="span">
    <w:name w:val="span"/>
    <w:basedOn w:val="DefaultParagraphFont"/>
    <w:rPr>
      <w:bdr w:val="none" w:sz="0" w:space="0" w:color="auto"/>
      <w:vertAlign w:val="baseline"/>
    </w:rPr>
  </w:style>
  <w:style w:type="table" w:customStyle="1" w:styleId="firstsection">
    <w:name w:val="firstsection"/>
    <w:basedOn w:val="TableNormal"/>
    <w:tblPr/>
  </w:style>
  <w:style w:type="character" w:customStyle="1" w:styleId="skn-slo5mid-sectionmiddle-boxcntc-secparagraph">
    <w:name w:val="skn-slo5_mid-section_middle-box_cntc-sec_paragraph"/>
    <w:basedOn w:val="DefaultParagraphFont"/>
  </w:style>
  <w:style w:type="paragraph" w:customStyle="1" w:styleId="address">
    <w:name w:val="address"/>
    <w:basedOn w:val="Normal"/>
    <w:pPr>
      <w:jc w:val="center"/>
    </w:pPr>
  </w:style>
  <w:style w:type="character" w:customStyle="1" w:styleId="add-details">
    <w:name w:val="add-details"/>
    <w:basedOn w:val="DefaultParagraphFont"/>
  </w:style>
  <w:style w:type="character" w:customStyle="1" w:styleId="addressadd-detailsspan">
    <w:name w:val="address_add-details_span"/>
    <w:basedOn w:val="DefaultParagraphFont"/>
    <w:rPr>
      <w:color w:val="505050"/>
    </w:rPr>
  </w:style>
  <w:style w:type="table" w:customStyle="1" w:styleId="cntc-sec">
    <w:name w:val="cntc-sec"/>
    <w:basedOn w:val="TableNormal"/>
    <w:tblPr/>
  </w:style>
  <w:style w:type="character" w:customStyle="1" w:styleId="parent-container1left-boxsumm-sec">
    <w:name w:val="parent-container1_left-box_summ-sec"/>
    <w:basedOn w:val="DefaultParagraphFont"/>
  </w:style>
  <w:style w:type="paragraph" w:customStyle="1" w:styleId="firstparagraphparagraph">
    <w:name w:val="firstparagraph_paragraph"/>
    <w:basedOn w:val="Normal"/>
    <w:pPr>
      <w:pBdr>
        <w:top w:val="none" w:sz="0" w:space="0" w:color="auto"/>
      </w:pBdr>
    </w:pPr>
  </w:style>
  <w:style w:type="paragraph" w:customStyle="1" w:styleId="summ-gap-div">
    <w:name w:val="summ-gap-div"/>
    <w:basedOn w:val="Normal"/>
    <w:pPr>
      <w:spacing w:line="80" w:lineRule="atLeast"/>
    </w:pPr>
    <w:rPr>
      <w:sz w:val="8"/>
      <w:szCs w:val="8"/>
    </w:rPr>
  </w:style>
  <w:style w:type="paragraph" w:customStyle="1" w:styleId="light-txt">
    <w:name w:val="light-txt"/>
    <w:basedOn w:val="Normal"/>
    <w:rPr>
      <w:color w:val="505050"/>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table" w:customStyle="1" w:styleId="parent-container1left-box">
    <w:name w:val="parent-container1_left-box"/>
    <w:basedOn w:val="TableNormal"/>
    <w:tblPr/>
  </w:style>
  <w:style w:type="paragraph" w:customStyle="1" w:styleId="section">
    <w:name w:val="section"/>
    <w:basedOn w:val="Normal"/>
  </w:style>
  <w:style w:type="paragraph" w:customStyle="1" w:styleId="heading">
    <w:name w:val="heading"/>
    <w:basedOn w:val="Normal"/>
    <w:pPr>
      <w:jc w:val="left"/>
    </w:pPr>
    <w:rPr>
      <w:b/>
      <w:bCs/>
    </w:rPr>
  </w:style>
  <w:style w:type="paragraph" w:customStyle="1" w:styleId="section-title">
    <w:name w:val="section-title"/>
    <w:basedOn w:val="Normal"/>
    <w:pPr>
      <w:spacing w:line="300" w:lineRule="atLeast"/>
    </w:pPr>
    <w:rPr>
      <w:spacing w:val="23"/>
      <w:sz w:val="24"/>
      <w:szCs w:val="24"/>
    </w:rPr>
  </w:style>
  <w:style w:type="paragraph" w:customStyle="1" w:styleId="disp-block">
    <w:name w:val="disp-block"/>
    <w:basedOn w:val="Normal"/>
  </w:style>
  <w:style w:type="paragraph" w:customStyle="1" w:styleId="txt-caps">
    <w:name w:val="txt-caps"/>
    <w:basedOn w:val="Normal"/>
    <w:rPr>
      <w:caps/>
    </w:rPr>
  </w:style>
  <w:style w:type="character" w:customStyle="1" w:styleId="sprtr">
    <w:name w:val="sprtr"/>
    <w:basedOn w:val="DefaultParagraphFont"/>
  </w:style>
  <w:style w:type="character" w:customStyle="1" w:styleId="sprtr1">
    <w:name w:val="sprtr1"/>
    <w:basedOn w:val="DefaultParagraphFont"/>
    <w:rPr>
      <w:color w:val="0077C0"/>
    </w:rPr>
  </w:style>
  <w:style w:type="character" w:customStyle="1" w:styleId="gap-before">
    <w:name w:val="gap-before"/>
    <w:basedOn w:val="DefaultParagraphFont"/>
    <w:rPr>
      <w:rFonts w:ascii="Manrope" w:eastAsia="Manrope" w:hAnsi="Manrope" w:cs="Manrope"/>
      <w:sz w:val="20"/>
      <w:szCs w:val="20"/>
    </w:rPr>
  </w:style>
  <w:style w:type="paragraph" w:customStyle="1" w:styleId="expr-seculli">
    <w:name w:val="expr-sec_ul_li"/>
    <w:basedOn w:val="Normal"/>
    <w:rPr>
      <w:color w:val="505050"/>
    </w:rPr>
  </w:style>
  <w:style w:type="paragraph" w:customStyle="1" w:styleId="ullinth-last-child1">
    <w:name w:val="ul_li_nth-last-child(1)"/>
    <w:basedOn w:val="Normal"/>
  </w:style>
  <w:style w:type="paragraph" w:customStyle="1" w:styleId="paragraph">
    <w:name w:val="paragraph"/>
    <w:basedOn w:val="Normal"/>
    <w:pPr>
      <w:pBdr>
        <w:top w:val="none" w:sz="0" w:space="10" w:color="auto"/>
      </w:pBdr>
    </w:pPr>
  </w:style>
  <w:style w:type="character" w:customStyle="1" w:styleId="spanempty">
    <w:name w:val="span_empty"/>
    <w:basedOn w:val="DefaultParagraphFont"/>
    <w:rPr>
      <w:vanish/>
    </w:rPr>
  </w:style>
  <w:style w:type="paragraph" w:customStyle="1" w:styleId="edu-secfirstparagraphparagraph">
    <w:name w:val="edu-sec_firstparagraph_paragraph"/>
    <w:basedOn w:val="Normal"/>
    <w:pPr>
      <w:pBdr>
        <w:top w:val="none" w:sz="0" w:space="0" w:color="auto"/>
      </w:pBdr>
    </w:pPr>
  </w:style>
  <w:style w:type="character" w:customStyle="1" w:styleId="divCharacter">
    <w:name w:val="div Character"/>
    <w:basedOn w:val="DefaultParagraphFont"/>
    <w:rPr>
      <w:bdr w:val="none" w:sz="0" w:space="0" w:color="auto"/>
      <w:vertAlign w:val="baseline"/>
    </w:rPr>
  </w:style>
  <w:style w:type="character" w:customStyle="1" w:styleId="spce-beforegpa">
    <w:name w:val="spce-beforegpa"/>
    <w:basedOn w:val="DefaultParagraphFont"/>
    <w:rPr>
      <w:b/>
      <w:bCs/>
      <w:color w:val="0077C0"/>
      <w:spacing w:val="13"/>
      <w:sz w:val="16"/>
      <w:szCs w:val="16"/>
    </w:rPr>
  </w:style>
  <w:style w:type="paragraph" w:customStyle="1" w:styleId="similar-secparagraph">
    <w:name w:val="similar-sec_paragraph"/>
    <w:basedOn w:val="Normal"/>
  </w:style>
  <w:style w:type="paragraph" w:customStyle="1" w:styleId="txt-center">
    <w:name w:val="txt-center"/>
    <w:basedOn w:val="Normal"/>
    <w:pPr>
      <w:jc w:val="left"/>
    </w:pPr>
  </w:style>
  <w:style w:type="paragraph" w:customStyle="1" w:styleId="cmn-secsection-title">
    <w:name w:val="cmn-sec_section-title"/>
    <w:basedOn w:val="Normal"/>
  </w:style>
  <w:style w:type="character" w:customStyle="1" w:styleId="sectioncmn-secsinglecolumnskill-container">
    <w:name w:val="section_cmn-sec_singlecolumn_skill-container"/>
    <w:basedOn w:val="DefaultParagraphFont"/>
  </w:style>
  <w:style w:type="paragraph" w:customStyle="1" w:styleId="cmn-secparagraph">
    <w:name w:val="cmn-sec_paragraph"/>
    <w:basedOn w:val="Normal"/>
    <w:pPr>
      <w:pBdr>
        <w:top w:val="none" w:sz="0" w:space="0" w:color="auto"/>
      </w:pBdr>
    </w:pPr>
    <w:rPr>
      <w:color w:val="0077C0"/>
    </w:rPr>
  </w:style>
  <w:style w:type="paragraph" w:customStyle="1" w:styleId="cmn-secparagraphnth-last-child2">
    <w:name w:val="cmn-sec_paragraph_nth-last-child(2)"/>
    <w:basedOn w:val="Normal"/>
  </w:style>
  <w:style w:type="paragraph" w:customStyle="1" w:styleId="cmn-secparagraphnth-last-child1">
    <w:name w:val="cmn-sec_paragraph_nth-last-child(1)"/>
    <w:basedOn w:val="Normal"/>
  </w:style>
  <w:style w:type="paragraph" w:customStyle="1" w:styleId="sectioncmn-secsinglecolumnskill-containerParagraph">
    <w:name w:val="section_cmn-sec_singlecolumn_skill-container Paragraph"/>
    <w:basedOn w:val="Normal"/>
  </w:style>
  <w:style w:type="table" w:customStyle="1" w:styleId="sectioncmn-secsinglecolumn">
    <w:name w:val="section_cmn-sec_singlecolumn"/>
    <w:basedOn w:val="TableNormal"/>
    <w:tblPr/>
  </w:style>
  <w:style w:type="paragraph" w:customStyle="1" w:styleId="ulli">
    <w:name w:val="ul_li"/>
    <w:basedOn w:val="Normal"/>
    <w:pPr>
      <w:pBdr>
        <w:top w:val="none" w:sz="0" w:space="0" w:color="auto"/>
        <w:left w:val="none" w:sz="0" w:space="10" w:color="auto"/>
        <w:bottom w:val="none" w:sz="0" w:space="0" w:color="auto"/>
        <w:right w:val="none" w:sz="0" w:space="0" w:color="auto"/>
      </w:pBdr>
    </w:pPr>
  </w:style>
  <w:style w:type="paragraph" w:customStyle="1" w:styleId="refrencesection-title">
    <w:name w:val="refrence_section-title"/>
    <w:basedOn w:val="Normal"/>
  </w:style>
  <w:style w:type="paragraph" w:customStyle="1" w:styleId="sectionrefrenceparagraphrefUponReq">
    <w:name w:val="section_refrence_paragraph_refUponReq"/>
    <w:basedOn w:val="Normal"/>
    <w:pPr>
      <w:pBdr>
        <w:top w:val="none" w:sz="0" w:space="0" w:color="auto"/>
        <w:left w:val="none" w:sz="0" w:space="0" w:color="auto"/>
        <w:bottom w:val="none" w:sz="0" w:space="0" w:color="auto"/>
        <w:right w:val="none" w:sz="0" w:space="0" w:color="auto"/>
      </w:pBd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Raghav Mehta</dc:title>
  <cp:revision>0</cp:revision>
</cp:coreProperties>
</file>