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Rohan</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Mehta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Corporate Accounting Associate</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rohan.mehta@example.com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Bengaluru</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Karnataka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560038</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18</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1996</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Results-driven accounting professional with expertise in general ledger management, financial reporting, and statutory compliance. Skilled in optimizing month-end close processes and supporting audits, with a strong foundation in ERP systems and MIS reporting. Seeking to leverage extensive experience to contribute effectively as a Corporate Accounting Associate.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Corporate Accounting Associate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Orion Corporate Services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2022</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Karnataka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daily general ledger activities and ensured accurate posting of journal entries across multiple corporate entities.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monthly financial statements and supporting schedules for internal management and external reporting reviews.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internal teams to close books within defined timelines during month-end and quarter-end cycles.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balance sheet reconciliations and resolved variances through detailed analysis and documentation.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statutory audits by preparing schedules, confirmations, and explanations for auditors.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compliance with internal controls and company accounting policies across finance operations.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preparation of MIS reports to support management decision making and performance tracking.</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Accounting Executive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Apex Global Solutions Ltd.</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2020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2022</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Handled accounts payable processing including invoice verification, vendor reconciliation, and timely payment processing.</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fixed asset registers and calculated depreciation as per company and statutory requirements.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preparation of monthly profit and loss statements and variance analysis reports.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tax consultants for GST filings and responded to routine compliance queries.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internal audits by providing accounting records and explaining transaction-level details.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Updated accounting records in ERP systems ensuring data accuracy and proper classification.</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expense reports and ensured adherence to approved budgets and company policies.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Junior Accounts Officer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Silverline Industries Pvt. Ltd.</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Jun 2018</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Dec 2019</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Ahmedabad</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Recorded daily accounting transactions and maintained proper supporting documentation for all entries.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senior accountants in bank reconciliations and follow-up on outstanding differences.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basic financial schedules for monthly closing and management review purposes.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Helped in maintaining vendor and customer master data within accounting systems.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GST data compilation and assisted in return preparation activities.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operations teams to clarify billing and revenue-related queries.</w:t>
      </w:r>
    </w:p>
    <w:p>
      <w:pPr>
        <w:pStyle w:val="skn-mly8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filing and organization of accounting records for easy audit reference.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Xavier's High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2012</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Gujarat</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Hiramani Higher Secondary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2014</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Gujarat</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Commerce</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Accounting and Finance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H.L. College of Commerce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Apr 2017</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Gujarat</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General Ledger Accounting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Month-End Close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Financial Reporting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Account Reconciliation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Statutory Compliance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Internal Controls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Audit Support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MIS Reporting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ERP Accounting Systems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Tax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Tally ERP with GST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Advanced Excel for Accounting Professionals</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CA Foundation, Institute of Chartered Accountants of India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7"/>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GST Practitioner Certification, Government of India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Month-End Close Process Improvement, Project at Orion Corporate Services, reducing closing timelines through better reconciliation tracking. GST Compliance Review, Project at Apex Global Solutions, improving accuracy of filings and supporting documentation.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Industry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Corporate Accounting and Finance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8"/>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at Orion Corporate Services for consistent on-time month-end closures over six consecutive quarters.</w:t>
      </w:r>
    </w:p>
    <w:p>
      <w:pPr>
        <w:pStyle w:val="skn-mly8ulli"/>
        <w:numPr>
          <w:ilvl w:val="0"/>
          <w:numId w:val="18"/>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Appreciated at Apex Global Solutions for supporting smooth statutory audit completion without major observations.</w:t>
      </w:r>
    </w:p>
    <w:p>
      <w:pPr>
        <w:pStyle w:val="skn-mly8ullinth-last-child1"/>
        <w:numPr>
          <w:ilvl w:val="0"/>
          <w:numId w:val="18"/>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Commended at Silverline Industries for maintaining accurate accounting records during system migration.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5AC6AE87-B757-40F2-95D5-4ACF5E1027AF}"/>
  </w:font>
  <w:font w:name="Open Sans">
    <w:charset w:val="00"/>
    <w:family w:val="auto"/>
    <w:pitch w:val="default"/>
    <w:sig w:usb0="00000000" w:usb1="00000000" w:usb2="00000000" w:usb3="00000000" w:csb0="00000001" w:csb1="00000000"/>
    <w:embedRegular r:id="rId2" w:fontKey="{B149EC3B-8CC2-4DEC-BAE1-C142DEF4B7E6}"/>
    <w:embedBold r:id="rId3" w:fontKey="{CACECF81-150B-4897-A010-6B81485ED62E}"/>
  </w:font>
  <w:font w:name="Open Sans Medium">
    <w:charset w:val="00"/>
    <w:family w:val="auto"/>
    <w:pitch w:val="default"/>
    <w:embedRegular r:id="rId4" w:fontKey="{B9E16A4E-9498-4562-AF1B-34819A3D7C6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