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Ankit</w:t>
            </w:r>
            <w:r>
              <w:rPr>
                <w:rStyle w:val="skn-slo7top-left-boxname-sec"/>
                <w:b/>
                <w:bCs/>
                <w:color w:val="050505"/>
                <w:bdr w:val="none" w:color="auto" w:sz="0" w:space="0"/>
                <w:vertAlign w:val="baseline"/>
              </w:rPr>
              <w:t xml:space="preserve"> </w:t>
            </w:r>
            <w:r>
              <w:rPr>
                <w:rStyle w:val="span"/>
                <w:b/>
                <w:bCs/>
                <w:color w:val="050505"/>
              </w:rPr>
              <w:t>Sharma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799ACC"/>
                <w:spacing w:val="5"/>
                <w:bdr w:val="none" w:color="auto" w:sz="0" w:space="0"/>
                <w:vertAlign w:val="baseline"/>
              </w:rPr>
            </w:pPr>
            <w:r>
              <w:rPr>
                <w:rStyle w:val="span"/>
                <w:b w:val="0"/>
                <w:bCs w:val="0"/>
              </w:rPr>
              <w:t>Compensation Manager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ankit.sharma@example.com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Gurugram</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Haryana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122011</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12 July 1988</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Business operations professional with extensive experience in compensation planning, salary benchmarking, and payroll governance. Skilled in designing incentive plans, ensuring statutory compliance, and conducting HR cost analysis. Expertise in policy implementation and annual budgeting, bringing strong analytical and problem-solving abilities to drive organizational success.</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Compensation planning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Salary benchmarking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Payroll governance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Incentive design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CTC structuring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Statutory compliance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HR cost analysis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Policy implementation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Annual budgeting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Vendor coordination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Compensation Manager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Noida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HCL Technologies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May 2020</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Managed end-to-end compensation cycles including annual increments, promotions, and bonus payouts across multiple business units.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Designed salary structures aligned with internal parity, budget limits, and external market benchmarks.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Ensured payroll inputs met statutory requirements for PF, ESIC, gratuity, and income tax compliance.</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Partnered with finance teams to plan compensation budgets and monitor monthly cost variance.</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Reviewed offer compensation for senior hires to ensure alignment with internal frameworks.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detailed compensation dashboards for leadership reviews and decision support.</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Resolved employee compensation queries through structured analysis and policy-based explanations.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Senior Compensation Analyst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Pune</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Tech Mahindra</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February 2016</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April 2020</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annual salary review processes by validating employee data and preparing compensation proposals.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Conducted market benchmarking using survey reports to recommend competitive pay ranges.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payroll teams to ensure accurate processing and timely salary disbursement.</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designing performance-based incentive plans for delivery and support teams.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Updated compensation policies based on regulatory changes and internal approvals.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Generated monthly compensation MIS reports for HR and finance stakeholders.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internal audits by maintaining accurate compensation records and documentation.</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Compensation Executive</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Bengaluru</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Infosys Limited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2013</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January 2016</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3"/>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Processed monthly payroll data and validated salary components for accuracy and completeness.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compliance activities related to bonus, leave encashment, and statutory deductions.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HR teams in preparing offer compensation structures for lateral and campus hires.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employee compensation records while ensuring data security and confidentiality.</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appraisal cycles by updating revised salaries in HR systems.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external payroll vendors for issue resolution and process clarity.</w:t>
            </w:r>
          </w:p>
          <w:p>
            <w:pPr>
              <w:pStyle w:val="skn-slo7ullinth-last-child1"/>
              <w:numPr>
                <w:ilvl w:val="0"/>
                <w:numId w:val="3"/>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standard payroll and compensation reports for internal review meetings.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Uttar Pradesh</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799ACC"/>
              </w:rPr>
              <w:t>Delhi Public School</w:t>
            </w:r>
            <w:r>
              <w:rPr>
                <w:rStyle w:val="skn-slo7edu-secparagraphanyCharacter"/>
                <w:rFonts w:ascii="Poppins" w:hAnsi="Poppins" w:eastAsia="Poppins" w:cs="Poppins"/>
                <w:b w:val="0"/>
                <w:bCs w:val="0"/>
                <w:color w:val="799ACC"/>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2003</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Uttar Pradesh</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799ACC"/>
              </w:rPr>
              <w:t>Delhi Public School</w:t>
            </w:r>
            <w:r>
              <w:rPr>
                <w:rStyle w:val="skn-slo7edu-secparagraphanyCharacter"/>
                <w:rFonts w:ascii="Poppins" w:hAnsi="Poppins" w:eastAsia="Poppins" w:cs="Poppins"/>
                <w:b w:val="0"/>
                <w:bCs w:val="0"/>
                <w:color w:val="799ACC"/>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2005</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Commerce</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Accounting and Business Management</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799ACC"/>
              </w:rPr>
              <w:t>University of Delhi</w:t>
            </w:r>
            <w:r>
              <w:rPr>
                <w:rStyle w:val="skn-slo7edu-secparagraphanyCharacter"/>
                <w:rFonts w:ascii="Poppins" w:hAnsi="Poppins" w:eastAsia="Poppins" w:cs="Poppins"/>
                <w:b w:val="0"/>
                <w:bCs w:val="0"/>
                <w:color w:val="799ACC"/>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April 2008</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67"/>
        <w:gridCol w:w="780"/>
        <w:gridCol w:w="5153"/>
      </w:tblGrid>
      <w:tr>
        <w:tblPrEx>
          <w:tblW w:w="11100" w:type="dxa"/>
          <w:jc w:val="left"/>
          <w:tblInd w:w="220" w:type="dxa"/>
          <w:tblCellMar>
            <w:left w:w="108" w:type="dxa"/>
            <w:right w:w="108" w:type="dxa"/>
          </w:tblCellMar>
        </w:tblPrEx>
        <w:trPr>
          <w:jc w:val="left"/>
        </w:trPr>
        <w:tc>
          <w:tcPr>
            <w:tcW w:w="5250" w:type="dxa"/>
            <w:tcMar>
              <w:left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Advanced Compensation Management Program – NIPM India</w:t>
            </w:r>
          </w:p>
        </w:tc>
        <w:tc>
          <w:tcPr>
            <w:tcW w:w="600" w:type="dxa"/>
            <w:tcMar>
              <w:bottom w:w="100" w:type="dxa"/>
            </w:tcMar>
          </w:tcPr>
          <w:p/>
        </w:tc>
        <w:tc>
          <w:tcPr>
            <w:tcW w:w="5250" w:type="dxa"/>
            <w:tcMar>
              <w:left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Labour Laws and Payroll Compliance Certification – ICA Edu Skills</w:t>
            </w:r>
          </w:p>
        </w:tc>
      </w:tr>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6"/>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Certified Compensation and Benefits Professional – Aon India</w:t>
            </w:r>
          </w:p>
        </w:tc>
        <w:tc>
          <w:tcPr>
            <w:tcW w:w="600" w:type="dxa"/>
            <w:tcMar>
              <w:bottom w:w="0" w:type="dxa"/>
            </w:tcMar>
          </w:tcPr>
          <w:p/>
        </w:tc>
        <w:tc>
          <w:tcPr>
            <w:tcW w:w="5250" w:type="dxa"/>
            <w:tcMar>
              <w:left w:w="0" w:type="dxa"/>
              <w:bottom w:w="0" w:type="dxa"/>
            </w:tcMar>
          </w:tcPr>
          <w:p>
            <w:pPr>
              <w:pStyle w:val="p"/>
              <w:numPr>
                <w:ilvl w:val="0"/>
                <w:numId w:val="7"/>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Payroll and Labour Law Certification – ICA Edu Skills</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Led organization-wide salary benchmarking project covering over 700 employees across technical and support roles. Implemented revised variable pay structure improving payout transparency and employee understanding.</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8"/>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HCL Technologies: Successfully closed annual compensation cycle within timelines for three consecutive years.</w:t>
      </w:r>
    </w:p>
    <w:p>
      <w:pPr>
        <w:pStyle w:val="skn-slo7ulli"/>
        <w:numPr>
          <w:ilvl w:val="0"/>
          <w:numId w:val="8"/>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Tech Mahindra: Reduced payroll discrepancies by 25 percent through improved validation processes.</w:t>
      </w:r>
    </w:p>
    <w:p>
      <w:pPr>
        <w:pStyle w:val="skn-slo7ullinth-last-child1"/>
        <w:numPr>
          <w:ilvl w:val="0"/>
          <w:numId w:val="8"/>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Infosys Limited: Appreciated for maintaining error-free payroll data during appraisal cycles.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48E5A19E-3D73-4C24-A1D4-F7D5A3B1F879}"/>
    <w:embedBold r:id="rId2" w:fontKey="{22866B25-A7A3-4528-845F-51F8AE4BCFD0}"/>
  </w:font>
  <w:font w:name="Open Sans">
    <w:charset w:val="00"/>
    <w:family w:val="auto"/>
    <w:pitch w:val="default"/>
    <w:embedRegular r:id="rId3" w:fontKey="{B4943CE4-31DB-4209-BC69-9894BB1FCF0C}"/>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799ACC"/>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character" w:customStyle="1" w:styleId="skn-slo7spanempty">
    <w:name w:val="skn-slo7_span_empty"/>
    <w:basedOn w:val="DefaultParagraphFont"/>
    <w:rPr>
      <w:vanish/>
    </w:rPr>
  </w:style>
  <w:style w:type="paragraph" w:customStyle="1" w:styleId="skn-slo7disp-block">
    <w:name w:val="skn-slo7_disp-block"/>
    <w:basedOn w:val="Normal"/>
  </w:style>
  <w:style w:type="character" w:customStyle="1" w:styleId="skn-slo7clr-pickr">
    <w:name w:val="skn-slo7_clr-pickr"/>
    <w:basedOn w:val="DefaultParagraphFont"/>
    <w:rPr>
      <w:color w:val="799ACC"/>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