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2topsection"/>
        <w:tblW w:w="5000" w:type="pct"/>
        <w:tblCellSpacing w:w="0" w:type="dxa"/>
        <w:shd w:val="clear" w:color="auto" w:fill="AA81D5"/>
        <w:tblCellMar>
          <w:top w:w="0" w:type="dxa"/>
          <w:left w:w="0" w:type="dxa"/>
          <w:bottom w:w="0" w:type="dxa"/>
          <w:right w:w="0" w:type="dxa"/>
        </w:tblCellMar>
        <w:tblLook w:val="05E0"/>
      </w:tblPr>
      <w:tblGrid>
        <w:gridCol w:w="9360"/>
      </w:tblGrid>
      <w:tr>
        <w:tblPrEx>
          <w:tblW w:w="5000" w:type="pct"/>
          <w:tblCellSpacing w:w="0" w:type="dxa"/>
          <w:shd w:val="clear" w:color="auto" w:fill="AA81D5"/>
          <w:tblCellMar>
            <w:top w:w="0" w:type="dxa"/>
            <w:left w:w="0" w:type="dxa"/>
            <w:bottom w:w="0" w:type="dxa"/>
            <w:right w:w="0" w:type="dxa"/>
          </w:tblCellMar>
          <w:tblLook w:val="05E0"/>
        </w:tblPrEx>
        <w:trPr>
          <w:tblCellSpacing w:w="0" w:type="dxa"/>
        </w:trPr>
        <w:tc>
          <w:tcPr>
            <w:shd w:val="clear" w:color="auto" w:fill="AA81D5"/>
            <w:tcMar>
              <w:top w:w="0" w:type="dxa"/>
              <w:left w:w="0" w:type="dxa"/>
              <w:bottom w:w="0" w:type="dxa"/>
              <w:right w:w="0" w:type="dxa"/>
            </w:tcMar>
            <w:vAlign w:val="center"/>
            <w:hideMark/>
          </w:tcPr>
          <w:p>
            <w:pPr>
              <w:pStyle w:val="skn-mly2name"/>
              <w:pBdr>
                <w:top w:val="none" w:sz="0" w:space="0" w:color="auto"/>
                <w:left w:val="none" w:sz="0" w:space="0" w:color="auto"/>
                <w:bottom w:val="none" w:sz="0" w:space="0" w:color="auto"/>
                <w:right w:val="none" w:sz="0" w:space="25" w:color="auto"/>
              </w:pBdr>
              <w:spacing w:before="420" w:after="0"/>
              <w:ind w:left="4640" w:right="500"/>
              <w:rPr>
                <w:rStyle w:val="skn-mly2topsectionsection"/>
                <w:rFonts w:ascii="Roboto Slab" w:eastAsia="Roboto Slab" w:hAnsi="Roboto Slab" w:cs="Roboto Slab"/>
                <w:b/>
                <w:bCs/>
                <w:caps/>
                <w:color w:val="EEF0F1"/>
                <w:sz w:val="82"/>
                <w:szCs w:val="82"/>
                <w:bdr w:val="none" w:sz="0" w:space="0" w:color="auto"/>
              </w:rPr>
            </w:pPr>
            <w:r>
              <w:rPr>
                <w:rStyle w:val="skn-mly2any"/>
                <w:b/>
                <w:bCs/>
                <w:caps/>
              </w:rPr>
              <w:t>Ankit</w:t>
            </w:r>
            <w:r>
              <w:rPr>
                <w:rStyle w:val="skn-mly2topsectionsection"/>
                <w:b/>
                <w:bCs/>
                <w:caps/>
                <w:bdr w:val="none" w:sz="0" w:space="0" w:color="auto"/>
              </w:rPr>
              <w:t xml:space="preserve"> </w:t>
            </w:r>
            <w:r>
              <w:rPr>
                <w:rStyle w:val="skn-mly2any"/>
                <w:b/>
                <w:bCs/>
                <w:caps/>
              </w:rPr>
              <w:t>Verma</w:t>
            </w:r>
            <w:r>
              <w:pict>
                <v:rect id="_x0000_s1025" style="width:232pt;height:11in;margin-top:0;margin-left:0;mso-position-horizontal-relative:page;mso-position-vertical-relative:page;position:absolute;z-index:-251658240" o:allowincell="f" fillcolor="#f2ecf9" stroked="f">
                  <v:path strokeok="f"/>
                </v:rect>
              </w:pict>
            </w:r>
          </w:p>
          <w:p>
            <w:pPr>
              <w:pStyle w:val="skn-mly2txt-bold"/>
              <w:pBdr>
                <w:top w:val="none" w:sz="0" w:space="12" w:color="auto"/>
                <w:left w:val="none" w:sz="0" w:space="0" w:color="auto"/>
                <w:bottom w:val="none" w:sz="0" w:space="12" w:color="auto"/>
                <w:right w:val="none" w:sz="0" w:space="0" w:color="auto"/>
              </w:pBdr>
              <w:spacing w:before="0" w:after="540" w:line="400" w:lineRule="atLeast"/>
              <w:ind w:left="4640" w:right="0"/>
              <w:rPr>
                <w:rStyle w:val="skn-mly2topsectionsection"/>
                <w:rFonts w:ascii="Open Sans" w:eastAsia="Open Sans" w:hAnsi="Open Sans" w:cs="Open Sans"/>
                <w:b/>
                <w:bCs/>
                <w:caps/>
                <w:color w:val="EEF0F1"/>
                <w:spacing w:val="20"/>
                <w:sz w:val="38"/>
                <w:szCs w:val="38"/>
                <w:bdr w:val="none" w:sz="0" w:space="0" w:color="auto"/>
              </w:rPr>
            </w:pPr>
            <w:r>
              <w:rPr>
                <w:rStyle w:val="skn-mly2any"/>
                <w:rFonts w:ascii="Open Sans" w:eastAsia="Open Sans" w:hAnsi="Open Sans" w:cs="Open Sans"/>
                <w:b/>
                <w:bCs/>
                <w:caps/>
                <w:color w:val="EEF0F1"/>
                <w:spacing w:val="20"/>
                <w:sz w:val="38"/>
                <w:szCs w:val="38"/>
              </w:rPr>
              <w:t>Collection Agent</w:t>
            </w:r>
          </w:p>
        </w:tc>
      </w:tr>
      <w:tr>
        <w:tblPrEx>
          <w:tblW w:w="5000" w:type="pct"/>
          <w:tblCellSpacing w:w="0" w:type="dxa"/>
          <w:shd w:val="clear" w:color="auto" w:fill="AA81D5"/>
          <w:tblCellMar>
            <w:top w:w="0" w:type="dxa"/>
            <w:left w:w="0" w:type="dxa"/>
            <w:bottom w:w="0" w:type="dxa"/>
            <w:right w:w="0" w:type="dxa"/>
          </w:tblCellMar>
          <w:tblLook w:val="05E0"/>
        </w:tblPrEx>
        <w:trPr>
          <w:trHeight w:val="200"/>
          <w:tblCellSpacing w:w="0" w:type="dxa"/>
        </w:trPr>
        <w:tc>
          <w:tcPr>
            <w:shd w:val="clear" w:color="auto" w:fill="F2ECF9"/>
            <w:tcMar>
              <w:top w:w="0" w:type="dxa"/>
              <w:left w:w="0" w:type="dxa"/>
              <w:bottom w:w="0" w:type="dxa"/>
              <w:right w:w="0" w:type="dxa"/>
            </w:tcMar>
            <w:vAlign w:val="center"/>
            <w:hideMark/>
          </w:tcPr>
          <w:p>
            <w:pPr>
              <w:pStyle w:val="skn-mly2emptycellParagraph"/>
              <w:pBdr>
                <w:top w:val="none" w:sz="0" w:space="0" w:color="auto"/>
                <w:left w:val="none" w:sz="0" w:space="0" w:color="auto"/>
                <w:bottom w:val="none" w:sz="0" w:space="0" w:color="auto"/>
                <w:right w:val="none" w:sz="0" w:space="0" w:color="auto"/>
              </w:pBdr>
              <w:spacing w:line="240" w:lineRule="atLeast"/>
              <w:ind w:left="0" w:right="0"/>
              <w:rPr>
                <w:rStyle w:val="skn-mly2emptycell"/>
                <w:rFonts w:ascii="Open Sans" w:eastAsia="Open Sans" w:hAnsi="Open Sans" w:cs="Open Sans"/>
                <w:color w:val="46464E"/>
                <w:sz w:val="20"/>
                <w:szCs w:val="20"/>
              </w:rPr>
            </w:pPr>
          </w:p>
        </w:tc>
      </w:tr>
    </w:tbl>
    <w:p>
      <w:pPr>
        <w:rPr>
          <w:vanish/>
        </w:rPr>
      </w:pPr>
    </w:p>
    <w:tbl>
      <w:tblPr>
        <w:tblStyle w:val="skn-mly2parent-container"/>
        <w:tblW w:w="0" w:type="auto"/>
        <w:tblCellSpacing w:w="0" w:type="dxa"/>
        <w:tblLayout w:type="fixed"/>
        <w:tblCellMar>
          <w:top w:w="0" w:type="dxa"/>
          <w:left w:w="0" w:type="dxa"/>
          <w:bottom w:w="0" w:type="dxa"/>
          <w:right w:w="0" w:type="dxa"/>
        </w:tblCellMar>
        <w:tblLook w:val="05E0"/>
      </w:tblPr>
      <w:tblGrid>
        <w:gridCol w:w="600"/>
        <w:gridCol w:w="3440"/>
        <w:gridCol w:w="600"/>
        <w:gridCol w:w="600"/>
        <w:gridCol w:w="6400"/>
        <w:gridCol w:w="6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00" w:type="dxa"/>
            <w:tcMar>
              <w:top w:w="0" w:type="dxa"/>
              <w:left w:w="0" w:type="dxa"/>
              <w:bottom w:w="0" w:type="dxa"/>
              <w:right w:w="0" w:type="dxa"/>
            </w:tcMar>
            <w:vAlign w:val="center"/>
            <w:hideMark/>
          </w:tcPr>
          <w:p>
            <w:pPr>
              <w:rPr>
                <w:rFonts w:ascii="Open Sans" w:eastAsia="Open Sans" w:hAnsi="Open Sans" w:cs="Open Sans"/>
                <w:color w:val="46464E"/>
                <w:sz w:val="20"/>
                <w:szCs w:val="20"/>
              </w:rPr>
            </w:pPr>
          </w:p>
        </w:tc>
        <w:tc>
          <w:tcPr>
            <w:tcW w:w="3440" w:type="dxa"/>
            <w:tcMar>
              <w:top w:w="0" w:type="dxa"/>
              <w:left w:w="0" w:type="dxa"/>
              <w:bottom w:w="0" w:type="dxa"/>
              <w:right w:w="0" w:type="dxa"/>
            </w:tcMar>
            <w:vAlign w:val="top"/>
            <w:hideMark/>
          </w:tcPr>
          <w:p>
            <w:pPr>
              <w:pStyle w:val="skn-mly2sectiontitle"/>
              <w:pBdr>
                <w:top w:val="none" w:sz="0" w:space="0" w:color="auto"/>
                <w:left w:val="none" w:sz="0" w:space="0" w:color="auto"/>
                <w:bottom w:val="none" w:sz="0" w:space="5" w:color="auto"/>
                <w:right w:val="none" w:sz="0" w:space="0" w:color="auto"/>
              </w:pBdr>
              <w:spacing w:before="86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Contact</w:t>
            </w: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Mumbai</w:t>
                  </w:r>
                  <w:r>
                    <w:rPr>
                      <w:rStyle w:val="skn-mly2any"/>
                      <w:rFonts w:ascii="Open Sans" w:eastAsia="Open Sans" w:hAnsi="Open Sans" w:cs="Open Sans"/>
                      <w:color w:val="000000"/>
                      <w:sz w:val="20"/>
                      <w:szCs w:val="20"/>
                    </w:rPr>
                    <w:t>,</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Maharashtra</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400069</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+91 98765 43210</w:t>
                  </w:r>
                  <w:r>
                    <w:rPr>
                      <w:rStyle w:val="skn-mly2addressico-txt"/>
                      <w:rFonts w:ascii="Open Sans" w:eastAsia="Open Sans" w:hAnsi="Open Sans" w:cs="Open Sans"/>
                      <w:color w:val="000000"/>
                      <w:sz w:val="20"/>
                      <w:szCs w:val="20"/>
                    </w:rPr>
                    <w:t xml:space="preserve"> </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ankit.verma@example.com</w:t>
                  </w:r>
                </w:p>
              </w:tc>
            </w:tr>
          </w:tbl>
          <w:p>
            <w:pPr>
              <w:rPr>
                <w:vanish/>
              </w:rPr>
            </w:pP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18 August 1994</w:t>
                  </w:r>
                  <w:r>
                    <w:rPr>
                      <w:rStyle w:val="skn-mly2addressico-txt"/>
                      <w:rFonts w:ascii="Open Sans" w:eastAsia="Open Sans" w:hAnsi="Open Sans" w:cs="Open Sans"/>
                      <w:color w:val="000000"/>
                      <w:sz w:val="20"/>
                      <w:szCs w:val="20"/>
                    </w:rPr>
                    <w:t xml:space="preserve"> </w:t>
                  </w:r>
                </w:p>
              </w:tc>
            </w:tr>
          </w:tbl>
          <w:p>
            <w:pPr>
              <w:pStyle w:val="skn-mly2left-boxsectionnth-child1notsectionpict"/>
              <w:pBdr>
                <w:top w:val="none" w:sz="0" w:space="0" w:color="auto"/>
                <w:left w:val="none" w:sz="0" w:space="0" w:color="auto"/>
                <w:bottom w:val="none" w:sz="0" w:space="0" w:color="auto"/>
                <w:right w:val="none" w:sz="0" w:space="0" w:color="auto"/>
              </w:pBdr>
              <w:spacing w:after="0" w:line="400" w:lineRule="exact"/>
              <w:ind w:left="0" w:right="0"/>
              <w:rPr>
                <w:rStyle w:val="skn-mly2left-boxsectionnth-child1notsectionpict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Skills</w:t>
            </w:r>
          </w:p>
          <w:p>
            <w:pPr>
              <w:pStyle w:val="skn-mly2anyParagraph"/>
              <w:numPr>
                <w:ilvl w:val="0"/>
                <w:numId w:val="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Debt Collection</w:t>
            </w:r>
          </w:p>
          <w:p>
            <w:pPr>
              <w:pStyle w:val="skn-mly2anyParagraph"/>
              <w:numPr>
                <w:ilvl w:val="0"/>
                <w:numId w:val="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Customer Follow-up</w:t>
            </w:r>
          </w:p>
          <w:p>
            <w:pPr>
              <w:pStyle w:val="skn-mly2anyParagraph"/>
              <w:numPr>
                <w:ilvl w:val="0"/>
                <w:numId w:val="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Payment Negotiation</w:t>
            </w:r>
          </w:p>
          <w:p>
            <w:pPr>
              <w:pStyle w:val="skn-mly2anyParagraph"/>
              <w:numPr>
                <w:ilvl w:val="0"/>
                <w:numId w:val="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Delinquency Tracking</w:t>
            </w:r>
          </w:p>
          <w:p>
            <w:pPr>
              <w:pStyle w:val="skn-mly2anyParagraph"/>
              <w:numPr>
                <w:ilvl w:val="0"/>
                <w:numId w:val="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Recovery Reporting</w:t>
            </w:r>
          </w:p>
          <w:p>
            <w:pPr>
              <w:pStyle w:val="skn-mly2anyParagraph"/>
              <w:numPr>
                <w:ilvl w:val="0"/>
                <w:numId w:val="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Skip Tracing</w:t>
            </w:r>
          </w:p>
          <w:p>
            <w:pPr>
              <w:pStyle w:val="skn-mly2anyParagraph"/>
              <w:numPr>
                <w:ilvl w:val="0"/>
                <w:numId w:val="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Account Reconciliation</w:t>
            </w:r>
          </w:p>
          <w:p>
            <w:pPr>
              <w:pStyle w:val="skn-mly2anyParagraph"/>
              <w:numPr>
                <w:ilvl w:val="0"/>
                <w:numId w:val="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Collection Compliance</w:t>
            </w:r>
          </w:p>
          <w:p>
            <w:pPr>
              <w:pStyle w:val="skn-mly2anyParagraph"/>
              <w:numPr>
                <w:ilvl w:val="0"/>
                <w:numId w:val="9"/>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Customer Communication</w:t>
            </w:r>
          </w:p>
          <w:p>
            <w:pPr>
              <w:pStyle w:val="skn-mly2anyParagraph"/>
              <w:numPr>
                <w:ilvl w:val="0"/>
                <w:numId w:val="1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Field Coordination</w:t>
            </w: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400" w:type="dxa"/>
            <w:tcMar>
              <w:top w:w="400" w:type="dxa"/>
              <w:left w:w="0" w:type="dxa"/>
              <w:bottom w:w="0" w:type="dxa"/>
              <w:right w:w="0" w:type="dxa"/>
            </w:tcMar>
            <w:vAlign w:val="top"/>
            <w:hideMark/>
          </w:tcPr>
          <w:p>
            <w:pPr>
              <w:pStyle w:val="skn-mly2parent-containerright-boxsection"/>
              <w:spacing w:before="0" w:line="120" w:lineRule="exact"/>
              <w:ind w:left="0" w:right="0"/>
              <w:rPr>
                <w:rStyle w:val="skn-mly2parent-containerright-box"/>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Professional Summary</w:t>
            </w:r>
          </w:p>
          <w:p>
            <w:pPr>
              <w:pStyle w:val="skn-mly2anyParagraph"/>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Offering abilities in debt collection, customer follow-up, and payment negotiation with strong skills in delinquency tracking and recovery reporting. Experienced in maintaining compliance and coordinating field operations. Bringing effective communication and account reconciliation expertise to enhance financial operations and client satisfaction.</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Experience</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Collection Agent</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09/2021</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Present</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Bajaj Finserv Ltd</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Mumbai</w:t>
            </w:r>
          </w:p>
          <w:p>
            <w:pPr>
              <w:pStyle w:val="skn-mly2ulli"/>
              <w:numPr>
                <w:ilvl w:val="0"/>
                <w:numId w:val="11"/>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Contacted overdue customers regularly to follow up on pending loan payments and explain repayment options clearly.</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Negotiated payment commitments while maintaining professional conduct and customer trust.</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Monitored delinquency buckets daily to prioritize high-risk accounts efficiently.</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Coordinated with field agents for doorstep collection in critical cases.</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Updated collection systems with accurate call logs and payment statuses daily.</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Ensured all collection activities complied with RBI and company guidelines.</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Prepared daily recovery summaries for review by collection supervisors.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Collection Executive</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01/2019</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08/2021</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ICICI Bank Ltd</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Mumbai</w:t>
            </w:r>
          </w:p>
          <w:p>
            <w:pPr>
              <w:pStyle w:val="skn-mly2ulli"/>
              <w:numPr>
                <w:ilvl w:val="0"/>
                <w:numId w:val="12"/>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Handled personal loan and credit card overdue accounts through structured calling processes.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Identified reasons for default and suggested suitable repayment solutions to customers.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Maintained accurate customer interaction records within internal collection systems.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Followed escalation procedures for chronic delinquency and non-responsive accounts.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Assisted in skip tracing to locate customers with changed contact details.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Supported monthly recovery targets through consistent follow-up and documentation.</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Generated weekly collection MIS reports for performance tracking and analysis.</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Education</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10th Standard</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03/2009</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St. Xavier's High School</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12th Standard</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03/2011</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St. Xavier's Junior College</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Bachelor of Commerce (B.Com)</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Accounting</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04/2014</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University of Mumbai</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Certifications</w:t>
            </w:r>
          </w:p>
          <w:p>
            <w:pPr>
              <w:pStyle w:val="skn-mly2anyParagraph"/>
              <w:numPr>
                <w:ilvl w:val="0"/>
                <w:numId w:val="1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IIBF Certificate in Retail Banking</w:t>
            </w:r>
          </w:p>
          <w:p>
            <w:pPr>
              <w:pStyle w:val="skn-mly2anyParagraph"/>
              <w:numPr>
                <w:ilvl w:val="0"/>
                <w:numId w:val="14"/>
              </w:numPr>
              <w:pBdr>
                <w:top w:val="none" w:sz="0" w:space="0" w:color="auto"/>
                <w:left w:val="none" w:sz="0" w:space="15" w:color="auto"/>
                <w:bottom w:val="none" w:sz="0" w:space="0" w:color="auto"/>
                <w:right w:val="none" w:sz="0" w:space="0" w:color="auto"/>
              </w:pBdr>
              <w:spacing w:before="0" w:after="50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NSE Academy Certification in Financial Services</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Projects</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Loan Recovery Process Improvement: Assisted in improving follow-up efficiency for early-stage delinquent loan accounts. Collection Data Accuracy Project: Supported data cleanup to improve accuracy of customer contact records.</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Personal Information</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Gender: Male</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Industry</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Banking and Financial Services</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Accomplishments</w:t>
            </w:r>
          </w:p>
          <w:p>
            <w:pPr>
              <w:pStyle w:val="skn-mly2ulli"/>
              <w:numPr>
                <w:ilvl w:val="0"/>
                <w:numId w:val="1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Achieved highest monthly recovery rate within assigned portfolio at Bajaj Finserv Ltd.</w:t>
            </w:r>
          </w:p>
          <w:p>
            <w:pPr>
              <w:pStyle w:val="skn-mly2ulli"/>
              <w:numPr>
                <w:ilvl w:val="0"/>
                <w:numId w:val="15"/>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Recognized for consistent collection performance at ICICI Bank Ltd.</w:t>
            </w:r>
          </w:p>
          <w:p>
            <w:pPr>
              <w:pStyle w:val="skn-mly2ulli"/>
              <w:numPr>
                <w:ilvl w:val="0"/>
                <w:numId w:val="15"/>
              </w:numPr>
              <w:spacing w:after="50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Reduced overdue accounts through effective follow-up and customer negotiation.</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References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 </w:t>
            </w:r>
          </w:p>
          <w:p>
            <w:pPr>
              <w:pBdr>
                <w:top w:val="none" w:sz="0" w:space="0" w:color="auto"/>
                <w:left w:val="none" w:sz="0" w:space="0" w:color="auto"/>
                <w:bottom w:val="none" w:sz="0" w:space="0" w:color="auto"/>
                <w:right w:val="none" w:sz="0" w:space="0" w:color="auto"/>
              </w:pBdr>
              <w:spacing w:after="0" w:line="240" w:lineRule="atLeast"/>
              <w:ind w:left="300" w:right="0"/>
              <w:rPr>
                <w:rStyle w:val="skn-mly2any"/>
                <w:rFonts w:ascii="Open Sans" w:eastAsia="Open Sans" w:hAnsi="Open Sans" w:cs="Open Sans"/>
                <w:color w:val="46464E"/>
                <w:sz w:val="20"/>
                <w:szCs w:val="20"/>
              </w:rPr>
            </w:pPr>
            <w:r>
              <w:rPr>
                <w:rStyle w:val="skn-mly2any"/>
                <w:rFonts w:ascii="Open Sans" w:eastAsia="Open Sans" w:hAnsi="Open Sans" w:cs="Open Sans"/>
                <w:color w:val="46464E"/>
                <w:sz w:val="20"/>
                <w:szCs w:val="20"/>
              </w:rPr>
              <w:t>References available upon request</w:t>
            </w:r>
          </w:p>
          <w:p>
            <w:pPr>
              <w:pStyle w:val="skn-mly2parent-containerright-boxsectionnth-last-child1"/>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nth-last-child1Character"/>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r>
    </w:tbl>
    <w:p>
      <w:pPr>
        <w:rPr>
          <w:rFonts w:ascii="Open Sans" w:eastAsia="Open Sans" w:hAnsi="Open Sans" w:cs="Open Sans"/>
          <w:color w:val="46464E"/>
          <w:sz w:val="20"/>
          <w:szCs w:val="20"/>
        </w:rPr>
      </w:pPr>
    </w:p>
    <w:sectPr>
      <w:headerReference w:type="default" r:id="rId8"/>
      <w:pgSz w:w="12240" w:h="15840"/>
      <w:pgMar w:top="0" w:right="0" w:bottom="500" w:left="0" w:header="0" w:footer="0"/>
      <w:cols w:space="720"/>
    </w:sectPr>
  </w:body>
</w:document>
</file>

<file path=word/fontTable.xml><?xml version="1.0" encoding="utf-8"?>
<w:fonts xmlns:r="http://schemas.openxmlformats.org/officeDocument/2006/relationships" xmlns:w="http://schemas.openxmlformats.org/wordprocessingml/2006/main">
  <w:font w:name="Roboto Slab">
    <w:charset w:val="00"/>
    <w:family w:val="auto"/>
    <w:pitch w:val="default"/>
    <w:embedRegular r:id="rId1" w:fontKey="{6495DC13-FF9E-48ED-A2D9-117B4290B90F}"/>
    <w:embedBold r:id="rId2" w:fontKey="{A5C29ED6-1942-4E2E-8241-DF6A32595FB2}"/>
  </w:font>
  <w:font w:name="Open Sans">
    <w:charset w:val="00"/>
    <w:family w:val="auto"/>
    <w:pitch w:val="default"/>
    <w:sig w:usb0="00000000" w:usb1="00000000" w:usb2="00000000" w:usb3="00000000" w:csb0="00000001" w:csb1="00000000"/>
    <w:embedRegular r:id="rId3" w:fontKey="{1401FB8E-A467-4CA0-909B-3D5B6DC4EDCF}"/>
    <w:embedBold r:id="rId4" w:fontKey="{D7902E22-1A05-4780-87B2-52BBD04DF726}"/>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32pt;height:11in;margin-top:0;margin-left:0;mso-position-horizontal-relative:page;mso-position-vertical-relative:page;position:absolute;z-index:-251658240" o:allowincell="f" fillcolor="#f2ec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2pagesize">
    <w:name w:val="skn-mly2_pagesize"/>
    <w:basedOn w:val="Normal"/>
  </w:style>
  <w:style w:type="character" w:customStyle="1" w:styleId="skn-mly2topsectionsection">
    <w:name w:val="skn-mly2_topsection_section"/>
    <w:basedOn w:val="DefaultParagraphFont"/>
    <w:rPr>
      <w:bdr w:val="none" w:sz="0" w:space="0" w:color="auto"/>
    </w:rPr>
  </w:style>
  <w:style w:type="paragraph" w:customStyle="1" w:styleId="skn-mly2top-boxfirstparagraphparagraph">
    <w:name w:val="skn-mly2_top-box_firstparagraph_paragraph"/>
    <w:basedOn w:val="Normal"/>
  </w:style>
  <w:style w:type="paragraph" w:customStyle="1" w:styleId="skn-mly2name">
    <w:name w:val="skn-mly2_name"/>
    <w:basedOn w:val="Normal"/>
    <w:pPr>
      <w:pBdr>
        <w:top w:val="none" w:sz="0" w:space="0" w:color="auto"/>
        <w:left w:val="none" w:sz="0" w:space="0" w:color="auto"/>
        <w:bottom w:val="none" w:sz="0" w:space="0" w:color="auto"/>
        <w:right w:val="none" w:sz="0" w:space="25" w:color="auto"/>
      </w:pBdr>
      <w:spacing w:line="1080" w:lineRule="atLeast"/>
    </w:pPr>
    <w:rPr>
      <w:rFonts w:ascii="Roboto Slab" w:eastAsia="Roboto Slab" w:hAnsi="Roboto Slab" w:cs="Roboto Slab"/>
      <w:b/>
      <w:bCs/>
      <w:caps/>
      <w:color w:val="EEF0F1"/>
      <w:sz w:val="82"/>
      <w:szCs w:val="82"/>
    </w:rPr>
  </w:style>
  <w:style w:type="character" w:customStyle="1" w:styleId="skn-mly2any">
    <w:name w:val="skn-mly2_any"/>
    <w:basedOn w:val="DefaultParagraphFont"/>
  </w:style>
  <w:style w:type="paragraph" w:customStyle="1" w:styleId="skn-mly2txt-bold">
    <w:name w:val="skn-mly2_txt-bold"/>
    <w:basedOn w:val="Normal"/>
    <w:rPr>
      <w:b/>
      <w:bCs/>
    </w:rPr>
  </w:style>
  <w:style w:type="character" w:customStyle="1" w:styleId="skn-mly2emptycell">
    <w:name w:val="skn-mly2_emptycell"/>
    <w:basedOn w:val="DefaultParagraphFont"/>
  </w:style>
  <w:style w:type="paragraph" w:customStyle="1" w:styleId="skn-mly2emptycellParagraph">
    <w:name w:val="skn-mly2_emptycell Paragraph"/>
    <w:basedOn w:val="Normal"/>
  </w:style>
  <w:style w:type="table" w:customStyle="1" w:styleId="skn-mly2topsection">
    <w:name w:val="skn-mly2_topsection"/>
    <w:basedOn w:val="TableNormal"/>
    <w:tblPr/>
  </w:style>
  <w:style w:type="character" w:customStyle="1" w:styleId="skn-mly2sidecell">
    <w:name w:val="skn-mly2_sidecell"/>
    <w:basedOn w:val="DefaultParagraphFont"/>
  </w:style>
  <w:style w:type="character" w:customStyle="1" w:styleId="skn-mly2parent-containerleft-box">
    <w:name w:val="skn-mly2_parent-container_left-box"/>
    <w:basedOn w:val="DefaultParagraphFont"/>
  </w:style>
  <w:style w:type="paragraph" w:customStyle="1" w:styleId="skn-mly2left-boxsectionnth-child1notsectionpict">
    <w:name w:val="skn-mly2_left-box_section_nth-child(1)_not(.section_pict)"/>
    <w:basedOn w:val="Normal"/>
  </w:style>
  <w:style w:type="paragraph" w:customStyle="1" w:styleId="skn-mly2heading">
    <w:name w:val="skn-mly2_heading"/>
    <w:basedOn w:val="Normal"/>
    <w:pPr>
      <w:pBdr>
        <w:bottom w:val="none" w:sz="0" w:space="5" w:color="auto"/>
      </w:pBdr>
    </w:pPr>
  </w:style>
  <w:style w:type="paragraph" w:customStyle="1" w:styleId="skn-mly2sectiontitle">
    <w:name w:val="skn-mly2_sectiontitle"/>
    <w:basedOn w:val="Normal"/>
    <w:pPr>
      <w:spacing w:line="280" w:lineRule="atLeast"/>
    </w:pPr>
    <w:rPr>
      <w:rFonts w:ascii="Roboto Slab" w:eastAsia="Roboto Slab" w:hAnsi="Roboto Slab" w:cs="Roboto Slab"/>
      <w:b/>
      <w:bCs/>
      <w:caps/>
      <w:color w:val="000000"/>
      <w:spacing w:val="10"/>
      <w:sz w:val="24"/>
      <w:szCs w:val="24"/>
    </w:rPr>
  </w:style>
  <w:style w:type="paragraph" w:customStyle="1" w:styleId="skn-mly2firstparagraphparagraph">
    <w:name w:val="skn-mly2_firstparagraph_paragraph"/>
    <w:basedOn w:val="Normal"/>
  </w:style>
  <w:style w:type="character" w:customStyle="1" w:styleId="skn-mly2addressicon-gap1">
    <w:name w:val="skn-mly2_address_icon-gap1"/>
    <w:basedOn w:val="DefaultParagraphFont"/>
  </w:style>
  <w:style w:type="character" w:customStyle="1" w:styleId="skn-mly2addressicon-svg">
    <w:name w:val="skn-mly2_address_icon-svg"/>
    <w:basedOn w:val="DefaultParagraphFont"/>
  </w:style>
  <w:style w:type="character" w:customStyle="1" w:styleId="skn-mly2addressicon-gap">
    <w:name w:val="skn-mly2_address_icon-gap"/>
    <w:basedOn w:val="DefaultParagraphFont"/>
  </w:style>
  <w:style w:type="character" w:customStyle="1" w:styleId="skn-mly2addressico-txt">
    <w:name w:val="skn-mly2_address_ico-txt"/>
    <w:basedOn w:val="DefaultParagraphFont"/>
  </w:style>
  <w:style w:type="table" w:customStyle="1" w:styleId="skn-mly2word-break">
    <w:name w:val="skn-mly2_word-break"/>
    <w:basedOn w:val="TableNormal"/>
    <w:tblPr/>
  </w:style>
  <w:style w:type="character" w:customStyle="1" w:styleId="skn-mly2left-boxsectionnth-child1notsectionpictCharacter">
    <w:name w:val="skn-mly2_left-box_section_nth-child(1)_not(.section_pict) Character"/>
    <w:basedOn w:val="DefaultParagraphFont"/>
  </w:style>
  <w:style w:type="paragraph" w:customStyle="1" w:styleId="skn-mly2sectionnth-last-child1">
    <w:name w:val="skn-mly2_section_nth-last-child(1)"/>
    <w:basedOn w:val="Normal"/>
  </w:style>
  <w:style w:type="paragraph" w:customStyle="1" w:styleId="skn-mly2ulli">
    <w:name w:val="skn-mly2_ul_li"/>
    <w:basedOn w:val="Normal"/>
  </w:style>
  <w:style w:type="paragraph" w:customStyle="1" w:styleId="skn-mly2anyParagraph">
    <w:name w:val="skn-mly2_any Paragraph"/>
    <w:basedOn w:val="Normal"/>
    <w:pPr>
      <w:pBdr>
        <w:top w:val="none" w:sz="0" w:space="0" w:color="auto"/>
        <w:left w:val="none" w:sz="0" w:space="0" w:color="auto"/>
        <w:bottom w:val="none" w:sz="0" w:space="0" w:color="auto"/>
        <w:right w:val="none" w:sz="0" w:space="0" w:color="auto"/>
      </w:pBdr>
    </w:pPr>
  </w:style>
  <w:style w:type="paragraph" w:customStyle="1" w:styleId="skn-mly2cmn-secparagraph">
    <w:name w:val="skn-mly2_cmn-sec_paragraph"/>
    <w:basedOn w:val="Normal"/>
  </w:style>
  <w:style w:type="paragraph" w:customStyle="1" w:styleId="skn-mly2sidecellParagraph">
    <w:name w:val="skn-mly2_sidecell Paragraph"/>
    <w:basedOn w:val="Normal"/>
  </w:style>
  <w:style w:type="character" w:customStyle="1" w:styleId="skn-mly2parent-containerright-box">
    <w:name w:val="skn-mly2_parent-container_right-box"/>
    <w:basedOn w:val="DefaultParagraphFont"/>
  </w:style>
  <w:style w:type="paragraph" w:customStyle="1" w:styleId="skn-mly2parent-containerright-boxsection">
    <w:name w:val="skn-mly2_parent-container_right-box_section"/>
    <w:basedOn w:val="Normal"/>
  </w:style>
  <w:style w:type="character" w:customStyle="1" w:styleId="skn-mly2parent-containerright-boxsectionCharacter">
    <w:name w:val="skn-mly2_parent-container_right-box_section Character"/>
    <w:basedOn w:val="DefaultParagraphFont"/>
  </w:style>
  <w:style w:type="paragraph" w:customStyle="1" w:styleId="skn-mly2parent-containerright-boxsinglecolumn">
    <w:name w:val="skn-mly2_parent-container_right-box_singlecolumn"/>
    <w:basedOn w:val="Normal"/>
  </w:style>
  <w:style w:type="paragraph" w:customStyle="1" w:styleId="skn-mly2sectionparagraphfirstparagraphpspcdiv">
    <w:name w:val="skn-mly2_section_paragraph_firstparagraph_pspcdiv"/>
    <w:basedOn w:val="Normal"/>
    <w:rPr>
      <w:vanish/>
    </w:rPr>
  </w:style>
  <w:style w:type="paragraph" w:customStyle="1" w:styleId="skn-mly2disp-block">
    <w:name w:val="skn-mly2_disp-block"/>
    <w:basedOn w:val="Normal"/>
  </w:style>
  <w:style w:type="character" w:customStyle="1" w:styleId="skn-mly2txt-boldCharacter">
    <w:name w:val="skn-mly2_txt-bold Character"/>
    <w:basedOn w:val="DefaultParagraphFont"/>
    <w:rPr>
      <w:b/>
      <w:bCs/>
    </w:rPr>
  </w:style>
  <w:style w:type="paragraph" w:customStyle="1" w:styleId="skn-mly2jobline">
    <w:name w:val="skn-mly2_jobline"/>
    <w:basedOn w:val="Normal"/>
  </w:style>
  <w:style w:type="paragraph" w:customStyle="1" w:styleId="skn-mly2paragraph">
    <w:name w:val="skn-mly2_paragraph"/>
    <w:basedOn w:val="Normal"/>
    <w:pPr>
      <w:pBdr>
        <w:left w:val="none" w:sz="0" w:space="15" w:color="auto"/>
      </w:pBdr>
    </w:pPr>
  </w:style>
  <w:style w:type="character" w:customStyle="1" w:styleId="skn-mly2compfont">
    <w:name w:val="skn-mly2_compfont"/>
    <w:basedOn w:val="DefaultParagraphFont"/>
    <w:rPr>
      <w:color w:val="000000"/>
      <w:sz w:val="22"/>
      <w:szCs w:val="22"/>
    </w:rPr>
  </w:style>
  <w:style w:type="paragraph" w:customStyle="1" w:styleId="skn-mly2parent-containerright-boxsectionnth-last-child1">
    <w:name w:val="skn-mly2_parent-container_right-box &gt; section_nth-last-child(1)"/>
    <w:basedOn w:val="Normal"/>
  </w:style>
  <w:style w:type="character" w:customStyle="1" w:styleId="skn-mly2parent-containerright-boxsectionnth-last-child1Character">
    <w:name w:val="skn-mly2_parent-container_right-box &gt; section_nth-last-child(1) Character"/>
    <w:basedOn w:val="DefaultParagraphFont"/>
  </w:style>
  <w:style w:type="table" w:customStyle="1" w:styleId="skn-mly2parent-container">
    <w:name w:val="skn-mly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