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1pagesize"/>
        <w:tblW w:w="0" w:type="auto"/>
        <w:tblCellSpacing w:w="0" w:type="dxa"/>
        <w:tblLayout w:type="fixed"/>
        <w:tblLook w:val="05E0"/>
      </w:tblPr>
      <w:tblGrid>
        <w:gridCol w:w="7720"/>
        <w:gridCol w:w="4520"/>
      </w:tblGrid>
      <w:tr>
        <w:tblPrEx>
          <w:tblW w:w="0" w:type="auto"/>
          <w:tblCellSpacing w:w="0" w:type="dxa"/>
          <w:tblLayout w:type="fixed"/>
          <w:tblLook w:val="05E0"/>
        </w:tblPrEx>
        <w:trPr>
          <w:tblCellSpacing w:w="0" w:type="dxa"/>
        </w:trPr>
        <w:tc>
          <w:tcPr>
            <w:tcW w:w="7720" w:type="dxa"/>
            <w:shd w:val="clear" w:color="auto" w:fill="FCF3E9"/>
            <w:tcMar>
              <w:top w:w="600" w:type="dxa"/>
              <w:left w:w="0" w:type="dxa"/>
              <w:bottom w:w="600" w:type="dxa"/>
              <w:right w:w="0" w:type="dxa"/>
            </w:tcMar>
            <w:vAlign w:val="center"/>
            <w:hideMark/>
          </w:tcPr>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top-sectionleft-box"/>
                <w:rFonts w:ascii="Poppins" w:eastAsia="Poppins" w:hAnsi="Poppins" w:cs="Poppins"/>
                <w:b/>
                <w:bCs/>
                <w:caps/>
                <w:color w:val="343B30"/>
                <w:spacing w:val="10"/>
                <w:sz w:val="56"/>
                <w:szCs w:val="56"/>
                <w:shd w:val="clear" w:color="auto" w:fill="auto"/>
              </w:rPr>
            </w:pPr>
            <w:r>
              <w:rPr>
                <w:rStyle w:val="skn-mly1top-sectionleft-box"/>
                <w:rFonts w:ascii="Poppins" w:eastAsia="Poppins" w:hAnsi="Poppins" w:cs="Poppins"/>
                <w:b/>
                <w:bCs/>
                <w:caps/>
                <w:color w:val="343B30"/>
                <w:spacing w:val="10"/>
                <w:sz w:val="56"/>
                <w:szCs w:val="56"/>
                <w:shd w:val="clear" w:color="auto" w:fill="auto"/>
              </w:rPr>
              <w:t>Ankit</w:t>
            </w:r>
            <w:r>
              <w:pict>
                <v:rect id="_x0000_s1025" style="width:386pt;height:762pt;margin-top:0;margin-left:0;mso-position-horizontal-relative:page;mso-position-vertical-relative:page;position:absolute;z-index:-251658240" o:allowincell="f" fillcolor="#fcf3e9" stroked="f">
                  <v:path strokeok="f"/>
                </v:rect>
              </w:pic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top-sectionleft-box"/>
                <w:rFonts w:ascii="Poppins" w:eastAsia="Poppins" w:hAnsi="Poppins" w:cs="Poppins"/>
                <w:b/>
                <w:bCs/>
                <w:caps/>
                <w:color w:val="343B30"/>
                <w:spacing w:val="10"/>
                <w:sz w:val="56"/>
                <w:szCs w:val="56"/>
                <w:shd w:val="clear" w:color="auto" w:fill="auto"/>
              </w:rPr>
            </w:pPr>
            <w:r>
              <w:rPr>
                <w:rStyle w:val="skn-mly1top-sectionleft-box"/>
                <w:rFonts w:ascii="Poppins" w:eastAsia="Poppins" w:hAnsi="Poppins" w:cs="Poppins"/>
                <w:b/>
                <w:bCs/>
                <w:caps/>
                <w:color w:val="343B30"/>
                <w:spacing w:val="10"/>
                <w:sz w:val="56"/>
                <w:szCs w:val="56"/>
                <w:shd w:val="clear" w:color="auto" w:fill="auto"/>
              </w:rPr>
              <w:t>Mehra</w:t>
            </w:r>
          </w:p>
          <w:p>
            <w:pPr>
              <w:pStyle w:val="skn-mly1prof-title"/>
              <w:pBdr>
                <w:top w:val="none" w:sz="0" w:space="0" w:color="auto"/>
                <w:left w:val="none" w:sz="0" w:space="0" w:color="auto"/>
                <w:bottom w:val="none" w:sz="0" w:space="0" w:color="auto"/>
                <w:right w:val="none" w:sz="0" w:space="0" w:color="auto"/>
              </w:pBdr>
              <w:spacing w:before="40" w:after="0" w:line="360" w:lineRule="exact"/>
              <w:ind w:left="600" w:right="600"/>
              <w:rPr>
                <w:rStyle w:val="skn-mly1top-sectionleft-box"/>
                <w:rFonts w:ascii="Poppins" w:eastAsia="Poppins" w:hAnsi="Poppins" w:cs="Poppins"/>
                <w:b w:val="0"/>
                <w:bCs w:val="0"/>
                <w:caps/>
                <w:color w:val="343B30"/>
                <w:spacing w:val="20"/>
                <w:sz w:val="28"/>
                <w:szCs w:val="28"/>
                <w:shd w:val="clear" w:color="auto" w:fill="auto"/>
              </w:rPr>
            </w:pPr>
            <w:r>
              <w:rPr>
                <w:rStyle w:val="skn-mly1anyCharacter"/>
                <w:rFonts w:ascii="Poppins" w:eastAsia="Poppins" w:hAnsi="Poppins" w:cs="Poppins"/>
                <w:b w:val="0"/>
                <w:bCs w:val="0"/>
                <w:caps/>
                <w:color w:val="343B30"/>
              </w:rPr>
              <w:t>Business Operations Analyst</w:t>
            </w:r>
          </w:p>
          <w:p>
            <w:pPr>
              <w:pStyle w:val="skn-mly1any"/>
              <w:pBdr>
                <w:top w:val="none" w:sz="0" w:space="0" w:color="auto"/>
                <w:left w:val="none" w:sz="0" w:space="0" w:color="auto"/>
                <w:bottom w:val="none" w:sz="0" w:space="0" w:color="auto"/>
                <w:right w:val="none" w:sz="0" w:space="0" w:color="auto"/>
              </w:pBdr>
              <w:spacing w:before="0" w:after="0" w:line="260" w:lineRule="exact"/>
              <w:ind w:left="600" w:right="600"/>
              <w:rPr>
                <w:rStyle w:val="skn-mly1top-sectionleft-box"/>
                <w:rFonts w:ascii="Poppins" w:eastAsia="Poppins" w:hAnsi="Poppins" w:cs="Poppins"/>
                <w:b/>
                <w:bCs/>
                <w:caps/>
                <w:color w:val="343B30"/>
                <w:spacing w:val="10"/>
                <w:sz w:val="2"/>
                <w:szCs w:val="2"/>
                <w:shd w:val="clear" w:color="auto" w:fill="auto"/>
              </w:rPr>
            </w:pPr>
            <w:r>
              <w:rPr>
                <w:rStyle w:val="skn-mly1top-sectionleft-box"/>
                <w:rFonts w:ascii="Poppins" w:eastAsia="Poppins" w:hAnsi="Poppins" w:cs="Poppins"/>
                <w:b/>
                <w:bCs/>
                <w:caps/>
                <w:color w:val="343B30"/>
                <w:spacing w:val="10"/>
                <w:sz w:val="2"/>
                <w:szCs w:val="2"/>
                <w:shd w:val="clear" w:color="auto" w:fill="auto"/>
              </w:rPr>
              <w:t> </w:t>
            </w:r>
          </w:p>
          <w:p>
            <w:pPr>
              <w:pStyle w:val="skn-mly1name"/>
              <w:spacing w:after="0" w:line="300" w:lineRule="exact"/>
              <w:ind w:left="600" w:right="600"/>
              <w:rPr>
                <w:rStyle w:val="skn-mly1nameCharacter"/>
                <w:b/>
                <w:bCs/>
                <w:caps/>
                <w:color w:val="343B30"/>
                <w:sz w:val="2"/>
                <w:szCs w:val="2"/>
              </w:rPr>
            </w:pPr>
            <w:r>
              <w:pict>
                <v:line id="_x0000_s1026" style="mso-position-horizontal-relative:margin;position:absolute;z-index:251659264" from="30pt,0" to="62pt,0" stroked="t" strokecolor="#595959" strokeweight="1pt"/>
              </w:pict>
            </w:r>
          </w:p>
          <w:tbl>
            <w:tblPr>
              <w:tblW w:w="0" w:type="auto"/>
              <w:tblInd w:w="600" w:type="dxa"/>
              <w:tblLayout w:type="fixed"/>
              <w:tblCellMar>
                <w:left w:w="108" w:type="dxa"/>
                <w:right w:w="108" w:type="dxa"/>
              </w:tblCellMar>
            </w:tblPr>
            <w:tblGrid>
              <w:gridCol w:w="3120"/>
              <w:gridCol w:w="236"/>
              <w:gridCol w:w="3260"/>
            </w:tblGrid>
            <w:tr>
              <w:tblPrEx>
                <w:tblW w:w="0" w:type="auto"/>
                <w:tblInd w:w="600" w:type="dxa"/>
                <w:tblLayout w:type="fixed"/>
                <w:tblCellMar>
                  <w:left w:w="108" w:type="dxa"/>
                  <w:right w:w="108" w:type="dxa"/>
                </w:tblCellMar>
              </w:tblPrEx>
              <w:tc>
                <w:tcPr>
                  <w:tcW w:w="3120" w:type="dxa"/>
                  <w:tcMar>
                    <w:top w:w="0" w:type="dxa"/>
                    <w:left w:w="0" w:type="dxa"/>
                    <w:bottom w:w="20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59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skn-mly1top-sectionleft-box"/>
                            <w:rFonts w:ascii="Open Sans" w:eastAsia="Open Sans" w:hAnsi="Open Sans" w:cs="Open Sans"/>
                            <w:color w:val="343B30"/>
                            <w:sz w:val="20"/>
                            <w:szCs w:val="20"/>
                            <w:shd w:val="clear" w:color="auto" w:fill="auto"/>
                          </w:rPr>
                        </w:pPr>
                        <w:r>
                          <w:rPr>
                            <w:rStyle w:val="skn-mly1top-sectionleft-box"/>
                            <w:rFonts w:ascii="Open Sans" w:eastAsia="Open Sans" w:hAnsi="Open Sans" w:cs="Open Sans"/>
                            <w:color w:val="343B30"/>
                            <w:sz w:val="20"/>
                            <w:szCs w:val="20"/>
                            <w:shd w:val="clear" w:color="auto" w:fill="auto"/>
                          </w:rPr>
                          <w:drawing>
                            <wp:inline>
                              <wp:extent cx="241003" cy="241137"/>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241003" cy="241137"/>
                                      </a:xfrm>
                                      <a:prstGeom prst="rect">
                                        <a:avLst/>
                                      </a:prstGeom>
                                    </pic:spPr>
                                  </pic:pic>
                                </a:graphicData>
                              </a:graphic>
                            </wp:inline>
                          </w:drawing>
                        </w:r>
                      </w:p>
                    </w:tc>
                    <w:tc>
                      <w:tcPr>
                        <w:tcW w:w="259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ankit.mehra@example.com</w:t>
                        </w:r>
                      </w:p>
                    </w:tc>
                  </w:tr>
                </w:tbl>
                <w:p>
                  <w:pPr>
                    <w:rPr>
                      <w:rStyle w:val="skn-mly1top-sectionleft-box"/>
                      <w:rFonts w:ascii="Open Sans" w:eastAsia="Open Sans" w:hAnsi="Open Sans" w:cs="Open Sans"/>
                      <w:color w:val="343B30"/>
                      <w:sz w:val="20"/>
                      <w:szCs w:val="20"/>
                      <w:shd w:val="clear" w:color="auto" w:fill="auto"/>
                    </w:rPr>
                  </w:pPr>
                </w:p>
              </w:tc>
              <w:tc>
                <w:tcPr>
                  <w:tcW w:w="140" w:type="dxa"/>
                </w:tcPr>
                <w:p/>
              </w:tc>
              <w:tc>
                <w:tcPr>
                  <w:tcW w:w="3260" w:type="dxa"/>
                  <w:tcMar>
                    <w:top w:w="0" w:type="dxa"/>
                    <w:left w:w="0" w:type="dxa"/>
                    <w:bottom w:w="20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73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cntc-secaddressadrs-fieldtable-cell"/>
                            <w:rFonts w:ascii="Open Sans" w:eastAsia="Open Sans" w:hAnsi="Open Sans" w:cs="Open Sans"/>
                            <w:color w:val="343B30"/>
                            <w:sz w:val="20"/>
                            <w:szCs w:val="20"/>
                          </w:rPr>
                        </w:pPr>
                        <w:r>
                          <w:rPr>
                            <w:rStyle w:val="cntc-secaddressadrs-fieldtable-cell"/>
                            <w:rFonts w:ascii="Open Sans" w:eastAsia="Open Sans" w:hAnsi="Open Sans" w:cs="Open Sans"/>
                            <w:color w:val="343B30"/>
                            <w:sz w:val="20"/>
                            <w:szCs w:val="20"/>
                          </w:rPr>
                          <w:drawing>
                            <wp:inline>
                              <wp:extent cx="241003" cy="241137"/>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241003" cy="241137"/>
                                      </a:xfrm>
                                      <a:prstGeom prst="rect">
                                        <a:avLst/>
                                      </a:prstGeom>
                                    </pic:spPr>
                                  </pic:pic>
                                </a:graphicData>
                              </a:graphic>
                            </wp:inline>
                          </w:drawing>
                        </w:r>
                      </w:p>
                    </w:tc>
                    <w:tc>
                      <w:tcPr>
                        <w:tcW w:w="273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+91 98765 43210</w:t>
                        </w:r>
                      </w:p>
                    </w:tc>
                  </w:tr>
                </w:tbl>
                <w:p>
                  <w:pPr>
                    <w:rPr>
                      <w:rStyle w:val="cntc-secaddressadrs-fieldtable-cell"/>
                      <w:rFonts w:ascii="Open Sans" w:eastAsia="Open Sans" w:hAnsi="Open Sans" w:cs="Open Sans"/>
                      <w:color w:val="343B30"/>
                      <w:sz w:val="20"/>
                      <w:szCs w:val="20"/>
                    </w:rPr>
                  </w:pPr>
                </w:p>
              </w:tc>
            </w:tr>
            <w:tr>
              <w:tblPrEx>
                <w:tblW w:w="0" w:type="auto"/>
                <w:tblInd w:w="600" w:type="dxa"/>
                <w:tblLayout w:type="fixed"/>
                <w:tblCellMar>
                  <w:left w:w="108" w:type="dxa"/>
                  <w:right w:w="108" w:type="dxa"/>
                </w:tblCellMar>
              </w:tblPrEx>
              <w:tc>
                <w:tcPr>
                  <w:tcW w:w="3120" w:type="dxa"/>
                  <w:tcMar>
                    <w:top w:w="0" w:type="dxa"/>
                    <w:left w:w="0" w:type="dxa"/>
                    <w:bottom w:w="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59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cntc-secaddressadrs-fieldtable-cell"/>
                            <w:rFonts w:ascii="Open Sans" w:eastAsia="Open Sans" w:hAnsi="Open Sans" w:cs="Open Sans"/>
                            <w:color w:val="343B30"/>
                            <w:sz w:val="20"/>
                            <w:szCs w:val="20"/>
                          </w:rPr>
                        </w:pPr>
                        <w:r>
                          <w:rPr>
                            <w:rStyle w:val="cntc-secaddressadrs-fieldtable-cell"/>
                            <w:rFonts w:ascii="Open Sans" w:eastAsia="Open Sans" w:hAnsi="Open Sans" w:cs="Open Sans"/>
                            <w:color w:val="343B30"/>
                            <w:sz w:val="20"/>
                            <w:szCs w:val="20"/>
                          </w:rPr>
                          <w:drawing>
                            <wp:inline>
                              <wp:extent cx="241003" cy="241137"/>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241003" cy="241137"/>
                                      </a:xfrm>
                                      <a:prstGeom prst="rect">
                                        <a:avLst/>
                                      </a:prstGeom>
                                    </pic:spPr>
                                  </pic:pic>
                                </a:graphicData>
                              </a:graphic>
                            </wp:inline>
                          </w:drawing>
                        </w:r>
                      </w:p>
                    </w:tc>
                    <w:tc>
                      <w:tcPr>
                        <w:tcW w:w="259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New Delhi</w:t>
                        </w:r>
                        <w:r>
                          <w:rPr>
                            <w:rStyle w:val="skn-mly1anyCharacter"/>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20"/>
                            <w:szCs w:val="20"/>
                          </w:rPr>
                          <w:t>Delhi</w:t>
                        </w:r>
                        <w:r>
                          <w:rPr>
                            <w:rStyle w:val="skn-mly1anyCharacter"/>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20"/>
                            <w:szCs w:val="20"/>
                          </w:rPr>
                          <w:t>110016</w:t>
                        </w:r>
                        <w:r>
                          <w:rPr>
                            <w:rStyle w:val="adrs-field-tableaddr-circle"/>
                            <w:rFonts w:ascii="Open Sans" w:eastAsia="Open Sans" w:hAnsi="Open Sans" w:cs="Open Sans"/>
                            <w:color w:val="343B30"/>
                            <w:sz w:val="20"/>
                            <w:szCs w:val="20"/>
                          </w:rPr>
                          <w:t xml:space="preserve"> </w:t>
                        </w:r>
                      </w:p>
                    </w:tc>
                  </w:tr>
                </w:tbl>
                <w:p>
                  <w:pPr>
                    <w:rPr>
                      <w:rStyle w:val="cntc-secaddressadrs-fieldtable-cell"/>
                      <w:rFonts w:ascii="Open Sans" w:eastAsia="Open Sans" w:hAnsi="Open Sans" w:cs="Open Sans"/>
                      <w:color w:val="343B30"/>
                      <w:sz w:val="20"/>
                      <w:szCs w:val="20"/>
                    </w:rPr>
                  </w:pPr>
                </w:p>
              </w:tc>
              <w:tc>
                <w:tcPr>
                  <w:tcW w:w="140" w:type="dxa"/>
                  <w:tcMar>
                    <w:bottom w:w="0" w:type="dxa"/>
                  </w:tcMar>
                </w:tcPr>
                <w:p/>
              </w:tc>
              <w:tc>
                <w:tcPr>
                  <w:tcW w:w="3260" w:type="dxa"/>
                  <w:tcMar>
                    <w:top w:w="0" w:type="dxa"/>
                    <w:left w:w="0" w:type="dxa"/>
                    <w:bottom w:w="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73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cntc-secaddressadrs-fieldtable-cell"/>
                            <w:rFonts w:ascii="Open Sans" w:eastAsia="Open Sans" w:hAnsi="Open Sans" w:cs="Open Sans"/>
                            <w:color w:val="343B30"/>
                            <w:sz w:val="20"/>
                            <w:szCs w:val="20"/>
                          </w:rPr>
                        </w:pPr>
                        <w:r>
                          <w:rPr>
                            <w:rStyle w:val="cntc-secaddressadrs-fieldtable-cell"/>
                            <w:rFonts w:ascii="Open Sans" w:eastAsia="Open Sans" w:hAnsi="Open Sans" w:cs="Open Sans"/>
                            <w:color w:val="343B30"/>
                            <w:sz w:val="20"/>
                            <w:szCs w:val="20"/>
                          </w:rPr>
                          <w:drawing>
                            <wp:inline>
                              <wp:extent cx="241003" cy="241137"/>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241003" cy="241137"/>
                                      </a:xfrm>
                                      <a:prstGeom prst="rect">
                                        <a:avLst/>
                                      </a:prstGeom>
                                    </pic:spPr>
                                  </pic:pic>
                                </a:graphicData>
                              </a:graphic>
                            </wp:inline>
                          </w:drawing>
                        </w:r>
                      </w:p>
                    </w:tc>
                    <w:tc>
                      <w:tcPr>
                        <w:tcW w:w="273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18 September 1991</w:t>
                        </w:r>
                      </w:p>
                    </w:tc>
                  </w:tr>
                </w:tbl>
                <w:p>
                  <w:pPr>
                    <w:rPr>
                      <w:rStyle w:val="cntc-secaddressadrs-fieldtable-cell"/>
                      <w:rFonts w:ascii="Open Sans" w:eastAsia="Open Sans" w:hAnsi="Open Sans" w:cs="Open Sans"/>
                      <w:color w:val="343B30"/>
                      <w:sz w:val="20"/>
                      <w:szCs w:val="20"/>
                    </w:rPr>
                  </w:pPr>
                </w:p>
              </w:tc>
            </w:tr>
          </w:tbl>
          <w:p>
            <w:pPr>
              <w:pBdr>
                <w:top w:val="none" w:sz="0" w:space="0" w:color="auto"/>
                <w:left w:val="none" w:sz="0" w:space="0" w:color="auto"/>
                <w:bottom w:val="none" w:sz="0" w:space="0" w:color="auto"/>
                <w:right w:val="none" w:sz="0" w:space="0" w:color="auto"/>
              </w:pBdr>
              <w:rPr>
                <w:rStyle w:val="skn-mly1top-sectionleft-box"/>
                <w:rFonts w:ascii="Open Sans" w:eastAsia="Open Sans" w:hAnsi="Open Sans" w:cs="Open Sans"/>
                <w:color w:val="343B30"/>
                <w:sz w:val="20"/>
                <w:szCs w:val="20"/>
                <w:shd w:val="clear" w:color="auto" w:fill="auto"/>
              </w:rPr>
            </w:pPr>
          </w:p>
        </w:tc>
        <w:tc>
          <w:tcPr>
            <w:tcW w:w="4520" w:type="dxa"/>
            <w:shd w:val="clear" w:color="auto" w:fill="F0C492"/>
            <w:tcMar>
              <w:top w:w="600" w:type="dxa"/>
              <w:left w:w="0" w:type="dxa"/>
              <w:bottom w:w="600" w:type="dxa"/>
              <w:right w:w="0" w:type="dxa"/>
            </w:tcMar>
            <w:vAlign w:val="center"/>
            <w:hideMark/>
          </w:tcPr>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top-sectionright-box"/>
                <w:rFonts w:ascii="Poppins" w:eastAsia="Poppins" w:hAnsi="Poppins" w:cs="Poppins"/>
                <w:b/>
                <w:bCs/>
                <w:caps/>
                <w:color w:val="343B30"/>
                <w:spacing w:val="20"/>
                <w:shd w:val="clear" w:color="auto" w:fill="auto"/>
              </w:rPr>
            </w:pPr>
            <w:r>
              <w:rPr>
                <w:rStyle w:val="skn-mly1top-sectionright-box"/>
                <w:rFonts w:ascii="Poppins" w:eastAsia="Poppins" w:hAnsi="Poppins" w:cs="Poppins"/>
                <w:b/>
                <w:bCs/>
                <w:caps/>
                <w:color w:val="343B30"/>
                <w:shd w:val="clear" w:color="auto" w:fill="auto"/>
              </w:rPr>
              <w:t>Professional Summary</w:t>
            </w:r>
          </w:p>
          <w:p>
            <w:pPr>
              <w:pStyle w:val="skn-mly1any"/>
              <w:pBdr>
                <w:top w:val="none" w:sz="0" w:space="0" w:color="auto"/>
                <w:left w:val="none" w:sz="0" w:space="0" w:color="auto"/>
                <w:bottom w:val="none" w:sz="0" w:space="0" w:color="auto"/>
                <w:right w:val="none" w:sz="0" w:space="0" w:color="auto"/>
              </w:pBdr>
              <w:spacing w:before="0" w:after="0" w:line="240" w:lineRule="atLeast"/>
              <w:ind w:left="600" w:right="600"/>
              <w:rPr>
                <w:rStyle w:val="skn-mly1top-sectionright-box"/>
                <w:rFonts w:ascii="Open Sans" w:eastAsia="Open Sans" w:hAnsi="Open Sans" w:cs="Open Sans"/>
                <w:color w:val="343B30"/>
                <w:sz w:val="20"/>
                <w:szCs w:val="20"/>
                <w:shd w:val="clear" w:color="auto" w:fill="auto"/>
              </w:rPr>
            </w:pPr>
            <w:r>
              <w:rPr>
                <w:rStyle w:val="skn-mly1top-sectionright-box"/>
                <w:rFonts w:ascii="Open Sans" w:eastAsia="Open Sans" w:hAnsi="Open Sans" w:cs="Open Sans"/>
                <w:color w:val="343B30"/>
                <w:sz w:val="20"/>
                <w:szCs w:val="20"/>
                <w:shd w:val="clear" w:color="auto" w:fill="auto"/>
              </w:rPr>
              <w:t>Experienced Business Operations Analyst with expertise in data analysis, process improvement, and KPI monitoring. Proven ability to develop performance dashboards, optimize costs, and support budgeting initiatives. Ready to leverage skills in stakeholder coordination and cross-functional collaboration to drive operational excellence in a new role as a Business Operations Analyst.</w:t>
            </w:r>
          </w:p>
        </w:tc>
      </w:tr>
      <w:tr>
        <w:tblPrEx>
          <w:tblW w:w="0" w:type="auto"/>
          <w:tblCellSpacing w:w="0" w:type="dxa"/>
          <w:tblLayout w:type="fixed"/>
          <w:tblLook w:val="05E0"/>
        </w:tblPrEx>
        <w:trPr>
          <w:tblCellSpacing w:w="0" w:type="dxa"/>
        </w:trPr>
        <w:tc>
          <w:tcPr>
            <w:tcW w:w="7720" w:type="dxa"/>
            <w:shd w:val="clear" w:color="auto" w:fill="FFFFFF"/>
            <w:tcMar>
              <w:top w:w="600" w:type="dxa"/>
              <w:left w:w="0" w:type="dxa"/>
              <w:bottom w:w="600" w:type="dxa"/>
              <w:right w:w="0" w:type="dxa"/>
            </w:tcMar>
            <w:vAlign w:val="top"/>
            <w:hideMark/>
          </w:tcPr>
          <w:p>
            <w:pPr>
              <w:pStyle w:val="skn-mly1last-boxsectionnth-child1section-spacing"/>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vanish/>
                <w:color w:val="343B30"/>
                <w:sz w:val="20"/>
                <w:szCs w:val="20"/>
                <w:shd w:val="clear" w:color="auto" w:fill="auto"/>
              </w:rPr>
            </w:pPr>
            <w:r>
              <w:rPr>
                <w:rStyle w:val="skn-mly1parent-containerleft-box"/>
                <w:rFonts w:ascii="Open Sans" w:eastAsia="Open Sans" w:hAnsi="Open Sans" w:cs="Open Sans"/>
                <w:vanish/>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Experience</w:t>
            </w:r>
          </w:p>
          <w:p>
            <w:pPr>
              <w:pStyle w:val="skn-mly1left-boxsinglecolumn"/>
              <w:pBdr>
                <w:top w:val="none" w:sz="0" w:space="0" w:color="auto"/>
                <w:left w:val="none" w:sz="0" w:space="0" w:color="auto"/>
                <w:bottom w:val="none" w:sz="0" w:space="0" w:color="auto"/>
                <w:right w:val="none" w:sz="0" w:space="0" w:color="auto"/>
              </w:pBdr>
              <w:spacing w:before="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Reliance Retail Ltd.</w:t>
            </w:r>
            <w:r>
              <w:rPr>
                <w:rStyle w:val="skn-mly1txt-bold"/>
                <w:rFonts w:ascii="Open Sans" w:eastAsia="Open Sans" w:hAnsi="Open Sans" w:cs="Open Sans"/>
                <w:b/>
                <w:bCs/>
                <w:color w:val="343B30"/>
                <w:sz w:val="20"/>
                <w:szCs w:val="20"/>
              </w:rPr>
              <w:t xml:space="preserve"> - </w:t>
            </w:r>
            <w:r>
              <w:rPr>
                <w:rStyle w:val="skn-mly1txt-bold"/>
                <w:rFonts w:ascii="Open Sans" w:eastAsia="Open Sans" w:hAnsi="Open Sans" w:cs="Open Sans"/>
                <w:b/>
                <w:bCs/>
                <w:color w:val="343B30"/>
                <w:sz w:val="20"/>
                <w:szCs w:val="20"/>
              </w:rPr>
              <w:t>Senior Business Operations Analyst</w:t>
            </w:r>
            <w:r>
              <w:rPr>
                <w:rStyle w:val="singlecolumnspanpaddedlinenth-child1"/>
                <w:rFonts w:ascii="Open Sans" w:eastAsia="Open Sans" w:hAnsi="Open Sans" w:cs="Open Sans"/>
                <w:color w:val="343B30"/>
                <w:sz w:val="20"/>
                <w:szCs w:val="20"/>
              </w:rPr>
              <w:t xml:space="preserve"> </w:t>
            </w:r>
            <w:r>
              <w:rPr>
                <w:rStyle w:val="singlecolumnspanpaddedlinenth-child1"/>
                <w:rFonts w:ascii="Open Sans" w:eastAsia="Open Sans" w:hAnsi="Open Sans" w:cs="Open Sans"/>
                <w:color w:val="343B30"/>
                <w:sz w:val="20"/>
                <w:szCs w:val="20"/>
              </w:rPr>
              <w:br/>
            </w:r>
            <w:r>
              <w:rPr>
                <w:rStyle w:val="skn-mly1txtItl"/>
                <w:rFonts w:ascii="Open Sans" w:eastAsia="Open Sans" w:hAnsi="Open Sans" w:cs="Open Sans"/>
                <w:i/>
                <w:iCs/>
                <w:color w:val="343B30"/>
                <w:sz w:val="20"/>
                <w:szCs w:val="20"/>
              </w:rPr>
              <w:t>Mumbai</w:t>
            </w:r>
            <w:r>
              <w:rPr>
                <w:rStyle w:val="singlecolumnspanpaddedlinenth-child1"/>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18"/>
                <w:szCs w:val="18"/>
              </w:rPr>
              <w:t>•</w:t>
            </w:r>
            <w:r>
              <w:rPr>
                <w:rStyle w:val="singlecolumnspanpaddedlinenth-child1"/>
                <w:rFonts w:ascii="Open Sans" w:eastAsia="Open Sans" w:hAnsi="Open Sans" w:cs="Open Sans"/>
                <w:color w:val="343B30"/>
                <w:sz w:val="20"/>
                <w:szCs w:val="20"/>
              </w:rPr>
              <w:t xml:space="preserve"> </w:t>
            </w:r>
            <w:r>
              <w:rPr>
                <w:rStyle w:val="skn-mly1txtItl"/>
                <w:rFonts w:ascii="Open Sans" w:eastAsia="Open Sans" w:hAnsi="Open Sans" w:cs="Open Sans"/>
                <w:i/>
                <w:iCs/>
                <w:color w:val="343B30"/>
                <w:sz w:val="20"/>
                <w:szCs w:val="20"/>
              </w:rPr>
              <w:t>03/2020</w:t>
            </w:r>
            <w:r>
              <w:rPr>
                <w:rStyle w:val="skn-mly1anyCharacter"/>
                <w:rFonts w:ascii="Open Sans" w:eastAsia="Open Sans" w:hAnsi="Open Sans" w:cs="Open Sans"/>
                <w:color w:val="343B30"/>
                <w:sz w:val="20"/>
                <w:szCs w:val="20"/>
              </w:rPr>
              <w:t xml:space="preserve"> - </w:t>
            </w:r>
            <w:r>
              <w:rPr>
                <w:rStyle w:val="skn-mly1txtItl"/>
                <w:rFonts w:ascii="Open Sans" w:eastAsia="Open Sans" w:hAnsi="Open Sans" w:cs="Open Sans"/>
                <w:i/>
                <w:iCs/>
                <w:color w:val="343B30"/>
                <w:sz w:val="20"/>
                <w:szCs w:val="20"/>
              </w:rPr>
              <w:t>Present</w:t>
            </w:r>
            <w:r>
              <w:rPr>
                <w:rStyle w:val="singlecolumnspanpaddedlinenth-child1"/>
                <w:rFonts w:ascii="Open Sans" w:eastAsia="Open Sans" w:hAnsi="Open Sans" w:cs="Open Sans"/>
                <w:color w:val="343B30"/>
                <w:sz w:val="20"/>
                <w:szCs w:val="20"/>
              </w:rPr>
              <w:t xml:space="preserve"> </w:t>
            </w:r>
          </w:p>
          <w:p>
            <w:pPr>
              <w:pStyle w:val="skn-mly1ulli"/>
              <w:numPr>
                <w:ilvl w:val="0"/>
                <w:numId w:val="1"/>
              </w:numPr>
              <w:pBdr>
                <w:top w:val="none" w:sz="0" w:space="0" w:color="auto"/>
                <w:bottom w:val="none" w:sz="0" w:space="0" w:color="auto"/>
                <w:right w:val="none" w:sz="0" w:space="0" w:color="auto"/>
              </w:pBdr>
              <w:spacing w:before="120"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Analyzed operational data to identify gaps and recommend process improvements across retail business units.</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Developed performance dashboards to track KPIs and operational efficiency metrics.</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Worked with finance teams to support budgeting and cost optimization initiatives.</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Standardized SOPs to improve process consistency and reduce operational errors.</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Coordinated with IT teams for automation of recurring operational reports.</w:t>
            </w:r>
          </w:p>
          <w:p>
            <w:pPr>
              <w:pStyle w:val="skn-mly1ullinth-last-child1"/>
              <w:numPr>
                <w:ilvl w:val="0"/>
                <w:numId w:val="1"/>
              </w:numPr>
              <w:pBdr>
                <w:top w:val="none" w:sz="0" w:space="0" w:color="auto"/>
                <w:left w:val="none" w:sz="0" w:space="5"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Supported leadership reviews by preparing insights and monthly business summaries.</w:t>
            </w:r>
          </w:p>
          <w:p>
            <w:pPr>
              <w:pStyle w:val="skn-mly1left-boxsinglecolumn"/>
              <w:pBdr>
                <w:top w:val="none" w:sz="0" w:space="0" w:color="auto"/>
                <w:left w:val="none" w:sz="0" w:space="0" w:color="auto"/>
                <w:bottom w:val="none" w:sz="0" w:space="0" w:color="auto"/>
                <w:right w:val="none" w:sz="0" w:space="0" w:color="auto"/>
              </w:pBdr>
              <w:spacing w:before="20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Tata Consultancy Services (TCS)</w:t>
            </w:r>
            <w:r>
              <w:rPr>
                <w:rStyle w:val="skn-mly1txt-bold"/>
                <w:rFonts w:ascii="Open Sans" w:eastAsia="Open Sans" w:hAnsi="Open Sans" w:cs="Open Sans"/>
                <w:b/>
                <w:bCs/>
                <w:color w:val="343B30"/>
                <w:sz w:val="20"/>
                <w:szCs w:val="20"/>
              </w:rPr>
              <w:t xml:space="preserve"> - </w:t>
            </w:r>
            <w:r>
              <w:rPr>
                <w:rStyle w:val="skn-mly1txt-bold"/>
                <w:rFonts w:ascii="Open Sans" w:eastAsia="Open Sans" w:hAnsi="Open Sans" w:cs="Open Sans"/>
                <w:b/>
                <w:bCs/>
                <w:color w:val="343B30"/>
                <w:sz w:val="20"/>
                <w:szCs w:val="20"/>
              </w:rPr>
              <w:t>Business Operations Analyst</w:t>
            </w:r>
            <w:r>
              <w:rPr>
                <w:rStyle w:val="singlecolumnspanpaddedlinenth-child1"/>
                <w:rFonts w:ascii="Open Sans" w:eastAsia="Open Sans" w:hAnsi="Open Sans" w:cs="Open Sans"/>
                <w:color w:val="343B30"/>
                <w:sz w:val="20"/>
                <w:szCs w:val="20"/>
              </w:rPr>
              <w:t xml:space="preserve"> </w:t>
            </w:r>
            <w:r>
              <w:rPr>
                <w:rStyle w:val="singlecolumnspanpaddedlinenth-child1"/>
                <w:rFonts w:ascii="Open Sans" w:eastAsia="Open Sans" w:hAnsi="Open Sans" w:cs="Open Sans"/>
                <w:color w:val="343B30"/>
                <w:sz w:val="20"/>
                <w:szCs w:val="20"/>
              </w:rPr>
              <w:br/>
            </w:r>
            <w:r>
              <w:rPr>
                <w:rStyle w:val="skn-mly1txtItl"/>
                <w:rFonts w:ascii="Open Sans" w:eastAsia="Open Sans" w:hAnsi="Open Sans" w:cs="Open Sans"/>
                <w:i/>
                <w:iCs/>
                <w:color w:val="343B30"/>
                <w:sz w:val="20"/>
                <w:szCs w:val="20"/>
              </w:rPr>
              <w:t>Bengaluru</w:t>
            </w:r>
            <w:r>
              <w:rPr>
                <w:rStyle w:val="singlecolumnspanpaddedlinenth-child1"/>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18"/>
                <w:szCs w:val="18"/>
              </w:rPr>
              <w:t>•</w:t>
            </w:r>
            <w:r>
              <w:rPr>
                <w:rStyle w:val="singlecolumnspanpaddedlinenth-child1"/>
                <w:rFonts w:ascii="Open Sans" w:eastAsia="Open Sans" w:hAnsi="Open Sans" w:cs="Open Sans"/>
                <w:color w:val="343B30"/>
                <w:sz w:val="20"/>
                <w:szCs w:val="20"/>
              </w:rPr>
              <w:t xml:space="preserve"> </w:t>
            </w:r>
            <w:r>
              <w:rPr>
                <w:rStyle w:val="skn-mly1txtItl"/>
                <w:rFonts w:ascii="Open Sans" w:eastAsia="Open Sans" w:hAnsi="Open Sans" w:cs="Open Sans"/>
                <w:i/>
                <w:iCs/>
                <w:color w:val="343B30"/>
                <w:sz w:val="20"/>
                <w:szCs w:val="20"/>
              </w:rPr>
              <w:t>07/2015</w:t>
            </w:r>
            <w:r>
              <w:rPr>
                <w:rStyle w:val="skn-mly1anyCharacter"/>
                <w:rFonts w:ascii="Open Sans" w:eastAsia="Open Sans" w:hAnsi="Open Sans" w:cs="Open Sans"/>
                <w:color w:val="343B30"/>
                <w:sz w:val="20"/>
                <w:szCs w:val="20"/>
              </w:rPr>
              <w:t xml:space="preserve"> - </w:t>
            </w:r>
            <w:r>
              <w:rPr>
                <w:rStyle w:val="skn-mly1txtItl"/>
                <w:rFonts w:ascii="Open Sans" w:eastAsia="Open Sans" w:hAnsi="Open Sans" w:cs="Open Sans"/>
                <w:i/>
                <w:iCs/>
                <w:color w:val="343B30"/>
                <w:sz w:val="20"/>
                <w:szCs w:val="20"/>
              </w:rPr>
              <w:t>02/2020</w:t>
            </w:r>
            <w:r>
              <w:rPr>
                <w:rStyle w:val="singlecolumnspanpaddedlinenth-child1"/>
                <w:rFonts w:ascii="Open Sans" w:eastAsia="Open Sans" w:hAnsi="Open Sans" w:cs="Open Sans"/>
                <w:color w:val="343B30"/>
                <w:sz w:val="20"/>
                <w:szCs w:val="20"/>
              </w:rPr>
              <w:t xml:space="preserve"> </w:t>
            </w:r>
          </w:p>
          <w:p>
            <w:pPr>
              <w:pStyle w:val="skn-mly1ulli"/>
              <w:numPr>
                <w:ilvl w:val="0"/>
                <w:numId w:val="2"/>
              </w:numPr>
              <w:pBdr>
                <w:top w:val="none" w:sz="0" w:space="0" w:color="auto"/>
                <w:bottom w:val="none" w:sz="0" w:space="0" w:color="auto"/>
                <w:right w:val="none" w:sz="0" w:space="0" w:color="auto"/>
              </w:pBdr>
              <w:spacing w:before="120"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Supported business operations teams with data analysis and performance reporting.</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Conducted process reviews to identify inefficiencies and improvement opportunities.</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Prepared operational reports for senior management decision-making.</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Assisted in implementation of new operational tools and workflows.</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Coordinated with multiple stakeholders to track action items and deliverables.</w:t>
            </w:r>
          </w:p>
          <w:p>
            <w:pPr>
              <w:pStyle w:val="skn-mly1ullinth-last-child1"/>
              <w:numPr>
                <w:ilvl w:val="0"/>
                <w:numId w:val="2"/>
              </w:numPr>
              <w:pBdr>
                <w:top w:val="none" w:sz="0" w:space="0" w:color="auto"/>
                <w:left w:val="none" w:sz="0" w:space="5"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Maintained documentation for operational processes and control measures.</w:t>
            </w:r>
          </w:p>
          <w:p>
            <w:pPr>
              <w:pStyle w:val="skn-mly1left-boxsinglecolumn"/>
              <w:pBdr>
                <w:top w:val="none" w:sz="0" w:space="0" w:color="auto"/>
                <w:left w:val="none" w:sz="0" w:space="0" w:color="auto"/>
                <w:bottom w:val="none" w:sz="0" w:space="0" w:color="auto"/>
                <w:right w:val="none" w:sz="0" w:space="0" w:color="auto"/>
              </w:pBdr>
              <w:spacing w:before="20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Teach India Initiative</w:t>
            </w:r>
            <w:r>
              <w:rPr>
                <w:rStyle w:val="skn-mly1txt-bold"/>
                <w:rFonts w:ascii="Open Sans" w:eastAsia="Open Sans" w:hAnsi="Open Sans" w:cs="Open Sans"/>
                <w:b/>
                <w:bCs/>
                <w:color w:val="343B30"/>
                <w:sz w:val="20"/>
                <w:szCs w:val="20"/>
              </w:rPr>
              <w:t xml:space="preserve"> - </w:t>
            </w:r>
            <w:r>
              <w:rPr>
                <w:rStyle w:val="skn-mly1txt-bold"/>
                <w:rFonts w:ascii="Open Sans" w:eastAsia="Open Sans" w:hAnsi="Open Sans" w:cs="Open Sans"/>
                <w:b/>
                <w:bCs/>
                <w:color w:val="343B30"/>
                <w:sz w:val="20"/>
                <w:szCs w:val="20"/>
              </w:rPr>
              <w:t>Operations Support Volunteer</w:t>
            </w:r>
            <w:r>
              <w:rPr>
                <w:rStyle w:val="singlecolumnspanpaddedlinenth-child1"/>
                <w:rFonts w:ascii="Open Sans" w:eastAsia="Open Sans" w:hAnsi="Open Sans" w:cs="Open Sans"/>
                <w:color w:val="343B30"/>
                <w:sz w:val="20"/>
                <w:szCs w:val="20"/>
              </w:rPr>
              <w:t xml:space="preserve"> </w:t>
            </w:r>
            <w:r>
              <w:rPr>
                <w:rStyle w:val="singlecolumnspanpaddedlinenth-child1"/>
                <w:rFonts w:ascii="Open Sans" w:eastAsia="Open Sans" w:hAnsi="Open Sans" w:cs="Open Sans"/>
                <w:color w:val="343B30"/>
                <w:sz w:val="20"/>
                <w:szCs w:val="20"/>
              </w:rPr>
              <w:br/>
            </w:r>
            <w:r>
              <w:rPr>
                <w:rStyle w:val="skn-mly1txtItl"/>
                <w:rFonts w:ascii="Open Sans" w:eastAsia="Open Sans" w:hAnsi="Open Sans" w:cs="Open Sans"/>
                <w:i/>
                <w:iCs/>
                <w:color w:val="343B30"/>
                <w:sz w:val="20"/>
                <w:szCs w:val="20"/>
              </w:rPr>
              <w:t>New Delhi</w:t>
            </w:r>
            <w:r>
              <w:rPr>
                <w:rStyle w:val="singlecolumnspanpaddedlinenth-child1"/>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18"/>
                <w:szCs w:val="18"/>
              </w:rPr>
              <w:t>•</w:t>
            </w:r>
            <w:r>
              <w:rPr>
                <w:rStyle w:val="singlecolumnspanpaddedlinenth-child1"/>
                <w:rFonts w:ascii="Open Sans" w:eastAsia="Open Sans" w:hAnsi="Open Sans" w:cs="Open Sans"/>
                <w:color w:val="343B30"/>
                <w:sz w:val="20"/>
                <w:szCs w:val="20"/>
              </w:rPr>
              <w:t xml:space="preserve"> </w:t>
            </w:r>
            <w:r>
              <w:rPr>
                <w:rStyle w:val="skn-mly1txtItl"/>
                <w:rFonts w:ascii="Open Sans" w:eastAsia="Open Sans" w:hAnsi="Open Sans" w:cs="Open Sans"/>
                <w:i/>
                <w:iCs/>
                <w:color w:val="343B30"/>
                <w:sz w:val="20"/>
                <w:szCs w:val="20"/>
              </w:rPr>
              <w:t>04/2014</w:t>
            </w:r>
            <w:r>
              <w:rPr>
                <w:rStyle w:val="skn-mly1anyCharacter"/>
                <w:rFonts w:ascii="Open Sans" w:eastAsia="Open Sans" w:hAnsi="Open Sans" w:cs="Open Sans"/>
                <w:color w:val="343B30"/>
                <w:sz w:val="20"/>
                <w:szCs w:val="20"/>
              </w:rPr>
              <w:t xml:space="preserve"> - </w:t>
            </w:r>
            <w:r>
              <w:rPr>
                <w:rStyle w:val="skn-mly1txtItl"/>
                <w:rFonts w:ascii="Open Sans" w:eastAsia="Open Sans" w:hAnsi="Open Sans" w:cs="Open Sans"/>
                <w:i/>
                <w:iCs/>
                <w:color w:val="343B30"/>
                <w:sz w:val="20"/>
                <w:szCs w:val="20"/>
              </w:rPr>
              <w:t>06/2014</w:t>
            </w:r>
            <w:r>
              <w:rPr>
                <w:rStyle w:val="singlecolumnspanpaddedlinenth-child1"/>
                <w:rFonts w:ascii="Open Sans" w:eastAsia="Open Sans" w:hAnsi="Open Sans" w:cs="Open Sans"/>
                <w:color w:val="343B30"/>
                <w:sz w:val="20"/>
                <w:szCs w:val="20"/>
              </w:rPr>
              <w:t xml:space="preserve"> </w:t>
            </w:r>
          </w:p>
          <w:p>
            <w:pPr>
              <w:pStyle w:val="skn-mly1ullinth-last-child1"/>
              <w:numPr>
                <w:ilvl w:val="0"/>
                <w:numId w:val="3"/>
              </w:numPr>
              <w:pBdr>
                <w:top w:val="none" w:sz="0" w:space="0" w:color="auto"/>
                <w:left w:val="none" w:sz="0" w:space="0" w:color="auto"/>
                <w:bottom w:val="none" w:sz="0" w:space="0" w:color="auto"/>
                <w:right w:val="none" w:sz="0" w:space="0" w:color="auto"/>
              </w:pBdr>
              <w:spacing w:before="120"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NGO</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Projects</w:t>
            </w:r>
          </w:p>
          <w:p>
            <w:pPr>
              <w:pStyle w:val="skn-mly1left-boxsinglecolumn"/>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Process optimization project that reduced operational turnaround time by improving workflow alignment. KPI dashboard implementation project supporting real-time operational performance tracking.</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Accomplishments</w:t>
            </w:r>
          </w:p>
          <w:p>
            <w:pPr>
              <w:pStyle w:val="skn-mly1ulli"/>
              <w:numPr>
                <w:ilvl w:val="0"/>
                <w:numId w:val="4"/>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Recognized for improving operational reporting accuracy.</w:t>
            </w:r>
          </w:p>
          <w:p>
            <w:pPr>
              <w:pStyle w:val="skn-mly1ulli"/>
              <w:numPr>
                <w:ilvl w:val="0"/>
                <w:numId w:val="4"/>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Contributed to cost-saving initiatives through data-driven insights.</w:t>
            </w:r>
          </w:p>
          <w:p>
            <w:pPr>
              <w:pStyle w:val="skn-mly1ullinth-last-child1"/>
              <w:numPr>
                <w:ilvl w:val="0"/>
                <w:numId w:val="4"/>
              </w:numPr>
              <w:pBdr>
                <w:top w:val="none" w:sz="0" w:space="0" w:color="auto"/>
                <w:left w:val="none" w:sz="0" w:space="5"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Appreciated for cross-team coordination and documentation quality.</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References</w:t>
            </w:r>
          </w:p>
          <w:p>
            <w:pPr>
              <w:pStyle w:val="skn-mly1left-boxsinglecolumn"/>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anyCharacter"/>
                <w:rFonts w:ascii="Open Sans" w:eastAsia="Open Sans" w:hAnsi="Open Sans" w:cs="Open Sans"/>
                <w:color w:val="343B30"/>
                <w:sz w:val="20"/>
                <w:szCs w:val="20"/>
              </w:rPr>
              <w:t>References available upon request</w:t>
            </w:r>
          </w:p>
        </w:tc>
        <w:tc>
          <w:tcPr>
            <w:tcW w:w="4520" w:type="dxa"/>
            <w:shd w:val="clear" w:color="auto" w:fill="F9E7D4"/>
            <w:tcMar>
              <w:top w:w="600" w:type="dxa"/>
              <w:left w:w="0" w:type="dxa"/>
              <w:bottom w:w="600" w:type="dxa"/>
              <w:right w:w="0" w:type="dxa"/>
            </w:tcMar>
            <w:vAlign w:val="center"/>
            <w:hideMark/>
          </w:tcPr>
          <w:p>
            <w:pPr>
              <w:pStyle w:val="skn-mly1last-boxsectionnth-child1section-spacing"/>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vanish/>
                <w:color w:val="343B30"/>
                <w:sz w:val="20"/>
                <w:szCs w:val="20"/>
                <w:shd w:val="clear" w:color="auto" w:fill="auto"/>
              </w:rPr>
            </w:pPr>
            <w:r>
              <w:rPr>
                <w:rStyle w:val="skn-mly1parent-containerright-box"/>
                <w:rFonts w:ascii="Open Sans" w:eastAsia="Open Sans" w:hAnsi="Open Sans" w:cs="Open Sans"/>
                <w:vanish/>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right-box"/>
                <w:rFonts w:ascii="Poppins" w:eastAsia="Poppins" w:hAnsi="Poppins" w:cs="Poppins"/>
                <w:b/>
                <w:bCs/>
                <w:caps/>
                <w:color w:val="343B30"/>
                <w:spacing w:val="20"/>
                <w:shd w:val="clear" w:color="auto" w:fill="auto"/>
              </w:rPr>
            </w:pPr>
            <w:r>
              <w:rPr>
                <w:rStyle w:val="skn-mly1parent-containerright-box"/>
                <w:rFonts w:ascii="Poppins" w:eastAsia="Poppins" w:hAnsi="Poppins" w:cs="Poppins"/>
                <w:b/>
                <w:bCs/>
                <w:caps/>
                <w:color w:val="343B30"/>
                <w:shd w:val="clear" w:color="auto" w:fill="auto"/>
              </w:rPr>
              <w:t>Education</w:t>
            </w:r>
          </w:p>
          <w:p>
            <w:pPr>
              <w:pStyle w:val="skn-mly1any"/>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Christ University</w:t>
            </w:r>
            <w:r>
              <w:rPr>
                <w:rStyle w:val="singlecolumnspanpaddedlinenth-child1"/>
                <w:rFonts w:ascii="Open Sans" w:eastAsia="Open Sans" w:hAnsi="Open Sans" w:cs="Open Sans"/>
                <w:color w:val="343B30"/>
                <w:sz w:val="20"/>
                <w:szCs w:val="20"/>
              </w:rPr>
              <w:t xml:space="preserve"> </w:t>
            </w:r>
          </w:p>
          <w:p>
            <w:pPr>
              <w:pStyle w:val="skn-mly1paddedline"/>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anyCharacter"/>
                <w:rFonts w:ascii="Open Sans" w:eastAsia="Open Sans" w:hAnsi="Open Sans" w:cs="Open Sans"/>
                <w:color w:val="343B30"/>
                <w:sz w:val="20"/>
                <w:szCs w:val="20"/>
              </w:rPr>
              <w:t>01/2015</w:t>
            </w:r>
          </w:p>
          <w:p>
            <w:pPr>
              <w:pStyle w:val="skn-mly1paddedline"/>
              <w:pBdr>
                <w:top w:val="none" w:sz="0" w:space="0" w:color="auto"/>
                <w:left w:val="none" w:sz="0" w:space="0" w:color="auto"/>
                <w:bottom w:val="none" w:sz="0" w:space="0" w:color="auto"/>
                <w:right w:val="none" w:sz="0" w:space="0" w:color="auto"/>
              </w:pBdr>
              <w:spacing w:before="1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i/>
                <w:iCs/>
                <w:color w:val="343B30"/>
                <w:sz w:val="20"/>
                <w:szCs w:val="20"/>
              </w:rPr>
              <w:t>Bachelor of Business Administration</w:t>
            </w:r>
            <w:r>
              <w:rPr>
                <w:rStyle w:val="skn-mly1beforecolonspace"/>
                <w:rFonts w:ascii="Open Sans" w:eastAsia="Open Sans" w:hAnsi="Open Sans" w:cs="Open Sans"/>
                <w:vanish/>
                <w:color w:val="343B30"/>
                <w:sz w:val="20"/>
                <w:szCs w:val="20"/>
              </w:rPr>
              <w:t xml:space="preserve"> </w:t>
            </w:r>
            <w:r>
              <w:rPr>
                <w:rStyle w:val="skn-mly1txt-bold"/>
                <w:rFonts w:ascii="Open Sans" w:eastAsia="Open Sans" w:hAnsi="Open Sans" w:cs="Open Sans"/>
                <w:b/>
                <w:bCs/>
                <w:color w:val="343B30"/>
                <w:sz w:val="20"/>
                <w:szCs w:val="20"/>
              </w:rPr>
              <w:t>:</w:t>
            </w:r>
            <w:r>
              <w:rPr>
                <w:rStyle w:val="skn-mly1parent-containerright-box"/>
                <w:rFonts w:ascii="Open Sans" w:eastAsia="Open Sans" w:hAnsi="Open Sans" w:cs="Open Sans"/>
                <w:color w:val="343B30"/>
                <w:sz w:val="20"/>
                <w:szCs w:val="20"/>
                <w:shd w:val="clear" w:color="auto" w:fill="auto"/>
              </w:rPr>
              <w:t xml:space="preserve"> </w:t>
            </w:r>
            <w:r>
              <w:rPr>
                <w:rStyle w:val="skn-mly1anyCharacter"/>
                <w:rFonts w:ascii="Open Sans" w:eastAsia="Open Sans" w:hAnsi="Open Sans" w:cs="Open Sans"/>
                <w:color w:val="343B30"/>
                <w:sz w:val="20"/>
                <w:szCs w:val="20"/>
              </w:rPr>
              <w:t>Operations Management</w:t>
            </w:r>
            <w:r>
              <w:rPr>
                <w:rStyle w:val="skn-mly1parent-containerright-box"/>
                <w:rFonts w:ascii="Open Sans" w:eastAsia="Open Sans" w:hAnsi="Open Sans" w:cs="Open Sans"/>
                <w:color w:val="343B30"/>
                <w:sz w:val="20"/>
                <w:szCs w:val="20"/>
                <w:shd w:val="clear" w:color="auto" w:fill="auto"/>
              </w:rPr>
              <w:t xml:space="preserve"> </w:t>
            </w:r>
          </w:p>
          <w:p>
            <w:pPr>
              <w:pStyle w:val="skn-mly1any"/>
              <w:pBdr>
                <w:top w:val="none" w:sz="0" w:space="0" w:color="auto"/>
                <w:left w:val="none" w:sz="0" w:space="0" w:color="auto"/>
                <w:bottom w:val="none" w:sz="0" w:space="0" w:color="auto"/>
                <w:right w:val="none" w:sz="0" w:space="0" w:color="auto"/>
              </w:pBdr>
              <w:spacing w:before="2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Delhi Public School</w:t>
            </w:r>
            <w:r>
              <w:rPr>
                <w:rStyle w:val="singlecolumnspanpaddedlinenth-child1"/>
                <w:rFonts w:ascii="Open Sans" w:eastAsia="Open Sans" w:hAnsi="Open Sans" w:cs="Open Sans"/>
                <w:color w:val="343B30"/>
                <w:sz w:val="20"/>
                <w:szCs w:val="20"/>
              </w:rPr>
              <w:t xml:space="preserve"> </w:t>
            </w:r>
          </w:p>
          <w:p>
            <w:pPr>
              <w:pStyle w:val="skn-mly1paddedline"/>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anyCharacter"/>
                <w:rFonts w:ascii="Open Sans" w:eastAsia="Open Sans" w:hAnsi="Open Sans" w:cs="Open Sans"/>
                <w:color w:val="343B30"/>
                <w:sz w:val="20"/>
                <w:szCs w:val="20"/>
              </w:rPr>
              <w:t>01/2012</w:t>
            </w:r>
          </w:p>
          <w:p>
            <w:pPr>
              <w:pStyle w:val="skn-mly1paddedline"/>
              <w:pBdr>
                <w:top w:val="none" w:sz="0" w:space="0" w:color="auto"/>
                <w:left w:val="none" w:sz="0" w:space="0" w:color="auto"/>
                <w:bottom w:val="none" w:sz="0" w:space="0" w:color="auto"/>
                <w:right w:val="none" w:sz="0" w:space="0" w:color="auto"/>
              </w:pBdr>
              <w:spacing w:before="1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i/>
                <w:iCs/>
                <w:color w:val="343B30"/>
                <w:sz w:val="20"/>
                <w:szCs w:val="20"/>
              </w:rPr>
              <w:t>12th Standard</w:t>
            </w:r>
            <w:r>
              <w:rPr>
                <w:rStyle w:val="skn-mly1beforecolonspace"/>
                <w:rFonts w:ascii="Open Sans" w:eastAsia="Open Sans" w:hAnsi="Open Sans" w:cs="Open Sans"/>
                <w:vanish/>
                <w:color w:val="343B30"/>
                <w:sz w:val="20"/>
                <w:szCs w:val="20"/>
              </w:rPr>
              <w:t xml:space="preserve"> </w:t>
            </w:r>
            <w:r>
              <w:rPr>
                <w:rStyle w:val="skn-mly1txt-bold"/>
                <w:rFonts w:ascii="Open Sans" w:eastAsia="Open Sans" w:hAnsi="Open Sans" w:cs="Open Sans"/>
                <w:b/>
                <w:bCs/>
                <w:color w:val="343B30"/>
                <w:sz w:val="20"/>
                <w:szCs w:val="20"/>
              </w:rPr>
              <w:t>:</w:t>
            </w:r>
            <w:r>
              <w:rPr>
                <w:rStyle w:val="skn-mly1parent-containerright-box"/>
                <w:rFonts w:ascii="Open Sans" w:eastAsia="Open Sans" w:hAnsi="Open Sans" w:cs="Open Sans"/>
                <w:color w:val="343B30"/>
                <w:sz w:val="20"/>
                <w:szCs w:val="20"/>
                <w:shd w:val="clear" w:color="auto" w:fill="auto"/>
              </w:rPr>
              <w:t xml:space="preserve"> </w:t>
            </w:r>
            <w:r>
              <w:rPr>
                <w:rStyle w:val="skn-mly1anyCharacter"/>
                <w:rFonts w:ascii="Open Sans" w:eastAsia="Open Sans" w:hAnsi="Open Sans" w:cs="Open Sans"/>
                <w:color w:val="343B30"/>
                <w:sz w:val="20"/>
                <w:szCs w:val="20"/>
              </w:rPr>
              <w:t>Commerce</w:t>
            </w:r>
            <w:r>
              <w:rPr>
                <w:rStyle w:val="skn-mly1parent-containerright-box"/>
                <w:rFonts w:ascii="Open Sans" w:eastAsia="Open Sans" w:hAnsi="Open Sans" w:cs="Open Sans"/>
                <w:color w:val="343B30"/>
                <w:sz w:val="20"/>
                <w:szCs w:val="20"/>
                <w:shd w:val="clear" w:color="auto" w:fill="auto"/>
              </w:rPr>
              <w:t xml:space="preserve"> </w:t>
            </w:r>
          </w:p>
          <w:p>
            <w:pPr>
              <w:pStyle w:val="skn-mly1any"/>
              <w:pBdr>
                <w:top w:val="none" w:sz="0" w:space="0" w:color="auto"/>
                <w:left w:val="none" w:sz="0" w:space="0" w:color="auto"/>
                <w:bottom w:val="none" w:sz="0" w:space="0" w:color="auto"/>
                <w:right w:val="none" w:sz="0" w:space="0" w:color="auto"/>
              </w:pBdr>
              <w:spacing w:before="2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Delhi Public School</w:t>
            </w:r>
            <w:r>
              <w:rPr>
                <w:rStyle w:val="singlecolumnspanpaddedlinenth-child1"/>
                <w:rFonts w:ascii="Open Sans" w:eastAsia="Open Sans" w:hAnsi="Open Sans" w:cs="Open Sans"/>
                <w:color w:val="343B30"/>
                <w:sz w:val="20"/>
                <w:szCs w:val="20"/>
              </w:rPr>
              <w:t xml:space="preserve"> </w:t>
            </w:r>
          </w:p>
          <w:p>
            <w:pPr>
              <w:pStyle w:val="skn-mly1paddedline"/>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anyCharacter"/>
                <w:rFonts w:ascii="Open Sans" w:eastAsia="Open Sans" w:hAnsi="Open Sans" w:cs="Open Sans"/>
                <w:color w:val="343B30"/>
                <w:sz w:val="20"/>
                <w:szCs w:val="20"/>
              </w:rPr>
              <w:t>01/2009</w:t>
            </w:r>
          </w:p>
          <w:p>
            <w:pPr>
              <w:pStyle w:val="skn-mly1paddedline"/>
              <w:pBdr>
                <w:top w:val="none" w:sz="0" w:space="0" w:color="auto"/>
                <w:left w:val="none" w:sz="0" w:space="0" w:color="auto"/>
                <w:bottom w:val="none" w:sz="0" w:space="0" w:color="auto"/>
                <w:right w:val="none" w:sz="0" w:space="0" w:color="auto"/>
              </w:pBdr>
              <w:spacing w:before="1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i/>
                <w:iCs/>
                <w:color w:val="343B30"/>
                <w:sz w:val="20"/>
                <w:szCs w:val="20"/>
              </w:rPr>
              <w:t>10th Standard</w:t>
            </w:r>
            <w:r>
              <w:rPr>
                <w:rStyle w:val="skn-mly1parent-containerright-box"/>
                <w:rFonts w:ascii="Open Sans" w:eastAsia="Open Sans" w:hAnsi="Open Sans" w:cs="Open Sans"/>
                <w:color w:val="343B30"/>
                <w:sz w:val="20"/>
                <w:szCs w:val="20"/>
                <w:shd w:val="clear" w:color="auto" w:fill="auto"/>
              </w:rPr>
              <w:t xml:space="preserve"> </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right-box"/>
                <w:rFonts w:ascii="Poppins" w:eastAsia="Poppins" w:hAnsi="Poppins" w:cs="Poppins"/>
                <w:b/>
                <w:bCs/>
                <w:caps/>
                <w:color w:val="343B30"/>
                <w:spacing w:val="20"/>
                <w:shd w:val="clear" w:color="auto" w:fill="auto"/>
              </w:rPr>
            </w:pPr>
            <w:r>
              <w:rPr>
                <w:rStyle w:val="skn-mly1parent-containerright-box"/>
                <w:rFonts w:ascii="Poppins" w:eastAsia="Poppins" w:hAnsi="Poppins" w:cs="Poppins"/>
                <w:b/>
                <w:bCs/>
                <w:caps/>
                <w:color w:val="343B30"/>
                <w:shd w:val="clear" w:color="auto" w:fill="auto"/>
              </w:rPr>
              <w:t>Skills</w:t>
            </w:r>
          </w:p>
          <w:p>
            <w:pPr>
              <w:pStyle w:val="skn-mly1any"/>
              <w:numPr>
                <w:ilvl w:val="0"/>
                <w:numId w:val="5"/>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Business Operations Analysis</w:t>
            </w:r>
          </w:p>
          <w:p>
            <w:pPr>
              <w:pStyle w:val="skn-mly1any"/>
              <w:numPr>
                <w:ilvl w:val="0"/>
                <w:numId w:val="6"/>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Process Improvement</w:t>
            </w:r>
          </w:p>
          <w:p>
            <w:pPr>
              <w:pStyle w:val="skn-mly1any"/>
              <w:numPr>
                <w:ilvl w:val="0"/>
                <w:numId w:val="7"/>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Data Analysis &amp; Reporting</w:t>
            </w:r>
          </w:p>
          <w:p>
            <w:pPr>
              <w:pStyle w:val="skn-mly1any"/>
              <w:numPr>
                <w:ilvl w:val="0"/>
                <w:numId w:val="8"/>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KPI Monitoring</w:t>
            </w:r>
          </w:p>
          <w:p>
            <w:pPr>
              <w:pStyle w:val="skn-mly1any"/>
              <w:numPr>
                <w:ilvl w:val="0"/>
                <w:numId w:val="9"/>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Stakeholder Coordination</w:t>
            </w:r>
          </w:p>
          <w:p>
            <w:pPr>
              <w:pStyle w:val="skn-mly1any"/>
              <w:numPr>
                <w:ilvl w:val="0"/>
                <w:numId w:val="10"/>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Operational Dashboards</w:t>
            </w:r>
          </w:p>
          <w:p>
            <w:pPr>
              <w:pStyle w:val="skn-mly1any"/>
              <w:numPr>
                <w:ilvl w:val="0"/>
                <w:numId w:val="11"/>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Cost Optimization</w:t>
            </w:r>
          </w:p>
          <w:p>
            <w:pPr>
              <w:pStyle w:val="skn-mly1any"/>
              <w:numPr>
                <w:ilvl w:val="0"/>
                <w:numId w:val="12"/>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Excel &amp; SQL Basics</w:t>
            </w:r>
          </w:p>
          <w:p>
            <w:pPr>
              <w:pStyle w:val="skn-mly1any"/>
              <w:numPr>
                <w:ilvl w:val="0"/>
                <w:numId w:val="13"/>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SOP Documentation</w:t>
            </w:r>
          </w:p>
          <w:p>
            <w:pPr>
              <w:pStyle w:val="skn-mly1any"/>
              <w:numPr>
                <w:ilvl w:val="0"/>
                <w:numId w:val="14"/>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Cross-Functional Collaboration</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right-box"/>
                <w:rFonts w:ascii="Poppins" w:eastAsia="Poppins" w:hAnsi="Poppins" w:cs="Poppins"/>
                <w:b/>
                <w:bCs/>
                <w:caps/>
                <w:color w:val="343B30"/>
                <w:spacing w:val="20"/>
                <w:shd w:val="clear" w:color="auto" w:fill="auto"/>
              </w:rPr>
            </w:pPr>
            <w:r>
              <w:rPr>
                <w:rStyle w:val="skn-mly1parent-containerright-box"/>
                <w:rFonts w:ascii="Poppins" w:eastAsia="Poppins" w:hAnsi="Poppins" w:cs="Poppins"/>
                <w:b/>
                <w:bCs/>
                <w:caps/>
                <w:color w:val="343B30"/>
                <w:shd w:val="clear" w:color="auto" w:fill="auto"/>
              </w:rPr>
              <w:t>Certifications</w:t>
            </w:r>
          </w:p>
          <w:p>
            <w:pPr>
              <w:pStyle w:val="skn-mly1any"/>
              <w:numPr>
                <w:ilvl w:val="0"/>
                <w:numId w:val="15"/>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Certified Business Analysis Foundation (IIBA)</w:t>
            </w:r>
          </w:p>
          <w:p>
            <w:pPr>
              <w:pStyle w:val="skn-mly1any"/>
              <w:numPr>
                <w:ilvl w:val="0"/>
                <w:numId w:val="16"/>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Six Sigma Yellow Belt Certification</w:t>
            </w:r>
          </w:p>
          <w:p>
            <w:pPr>
              <w:pStyle w:val="skn-mly1parent-containerright-boxParagraph"/>
              <w:shd w:val="clear" w:color="auto" w:fill="auto"/>
              <w:spacing w:line="240" w:lineRule="atLeast"/>
              <w:ind w:left="600" w:right="600"/>
              <w:rPr>
                <w:rStyle w:val="skn-mly1parent-containerright-box"/>
                <w:rFonts w:ascii="Open Sans" w:eastAsia="Open Sans" w:hAnsi="Open Sans" w:cs="Open Sans"/>
                <w:color w:val="343B30"/>
                <w:sz w:val="20"/>
                <w:szCs w:val="20"/>
                <w:shd w:val="clear" w:color="auto" w:fill="auto"/>
              </w:rPr>
            </w:pPr>
          </w:p>
        </w:tc>
      </w:tr>
    </w:tbl>
    <w:p>
      <w:r>
        <w:pict>
          <v:rect id="_x0000_s1027" style="width:386pt;height:11in;margin-top:0;margin-left:0;mso-position-horizontal-relative:page;position:absolute;z-index:-251656192" o:allowoverlap="f" fillcolor="white" stroked="f">
            <v:path strokeok="f"/>
          </v:rect>
        </w:pict>
      </w:r>
      <w:r>
        <w:pict>
          <v:rect id="_x0000_s1028" style="width:226pt;height:11in;margin-top:0;margin-left:0;mso-position-horizontal:right;mso-position-vertical:top;position:absolute;z-index:251661312" fillcolor="#f9e7d4" stroked="f">
            <v:path strokeok="f"/>
          </v:rect>
        </w:pict>
      </w:r>
    </w:p>
    <w:sectPr>
      <w:headerReference w:type="default" r:id="rId8"/>
      <w:footerReference w:type="default" r:id="rId9"/>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font>
  <w:font w:name="Poppins">
    <w:charset w:val="00"/>
    <w:family w:val="auto"/>
    <w:pitch w:val="default"/>
  </w:font>
  <w:font w:name="Symbol">
    <w:charset w:val="00"/>
    <w:family w:val="auto"/>
    <w:pitch w:val="default"/>
  </w:font>
  <w:font w:name="Times New Roman">
    <w:charset w:val="00"/>
    <w:family w:val="auto"/>
    <w:pitch w:val="default"/>
  </w:font>
  <w:font w:name="Wingdings">
    <w:charset w:val="00"/>
    <w:family w:val="auto"/>
    <w:pitch w:val="default"/>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26pt;height:11in;margin-top:0;margin-left:0;mso-position-horizontal:right;mso-position-vertical:top;position:absolute;z-index:251658240" fillcolor="#f9e7d4"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character" w:customStyle="1" w:styleId="skn-mly1top-sectionleft-box">
    <w:name w:val="skn-mly1_top-section_left-box"/>
    <w:basedOn w:val="DefaultParagraphFont"/>
    <w:rPr>
      <w:shd w:val="clear" w:color="auto" w:fill="FFFFFF"/>
    </w:rPr>
  </w:style>
  <w:style w:type="paragraph" w:customStyle="1" w:styleId="skn-mly1left-boxsectionnth-child1">
    <w:name w:val="skn-mly1_left-box &gt; section_nth-child(1)"/>
    <w:basedOn w:val="Normal"/>
    <w:pPr>
      <w:pBdr>
        <w:top w:val="none" w:sz="0" w:space="0" w:color="auto"/>
      </w:pBdr>
    </w:pPr>
  </w:style>
  <w:style w:type="paragraph" w:customStyle="1" w:styleId="skn-mly1paragraphfirstparagraph">
    <w:name w:val="skn-mly1_paragraph_firstparagraph"/>
    <w:basedOn w:val="Normal"/>
  </w:style>
  <w:style w:type="paragraph" w:customStyle="1" w:styleId="skn-mly1name">
    <w:name w:val="skn-mly1_name"/>
    <w:basedOn w:val="Normal"/>
    <w:pPr>
      <w:spacing w:line="500" w:lineRule="atLeast"/>
    </w:pPr>
    <w:rPr>
      <w:rFonts w:ascii="Poppins" w:eastAsia="Poppins" w:hAnsi="Poppins" w:cs="Poppins"/>
      <w:b/>
      <w:bCs/>
      <w:caps/>
      <w:spacing w:val="10"/>
      <w:sz w:val="56"/>
      <w:szCs w:val="56"/>
    </w:rPr>
  </w:style>
  <w:style w:type="paragraph" w:customStyle="1" w:styleId="skn-mly1any">
    <w:name w:val="skn-mly1_any"/>
    <w:basedOn w:val="Normal"/>
    <w:pPr>
      <w:pBdr>
        <w:top w:val="none" w:sz="0" w:space="0" w:color="auto"/>
        <w:left w:val="none" w:sz="0" w:space="0" w:color="auto"/>
        <w:bottom w:val="none" w:sz="0" w:space="0" w:color="auto"/>
        <w:right w:val="none" w:sz="0" w:space="0" w:color="auto"/>
      </w:pBdr>
    </w:pPr>
  </w:style>
  <w:style w:type="character" w:customStyle="1" w:styleId="skn-mly1anyCharacter">
    <w:name w:val="skn-mly1_any Character"/>
    <w:basedOn w:val="DefaultParagraphFont"/>
  </w:style>
  <w:style w:type="paragraph" w:customStyle="1" w:styleId="skn-mly1prof-title">
    <w:name w:val="skn-mly1_prof-title"/>
    <w:basedOn w:val="Normal"/>
    <w:pPr>
      <w:spacing w:line="360" w:lineRule="atLeast"/>
    </w:pPr>
    <w:rPr>
      <w:b w:val="0"/>
      <w:bCs w:val="0"/>
      <w:spacing w:val="20"/>
      <w:sz w:val="28"/>
      <w:szCs w:val="28"/>
    </w:rPr>
  </w:style>
  <w:style w:type="character" w:customStyle="1" w:styleId="skn-mly1prof-titleCharacter">
    <w:name w:val="skn-mly1_prof-title Character"/>
    <w:basedOn w:val="DefaultParagraphFont"/>
    <w:rPr>
      <w:b w:val="0"/>
      <w:bCs w:val="0"/>
      <w:spacing w:val="20"/>
      <w:sz w:val="28"/>
      <w:szCs w:val="28"/>
    </w:rPr>
  </w:style>
  <w:style w:type="character" w:customStyle="1" w:styleId="skn-mly1nameCharacter">
    <w:name w:val="skn-mly1_name Character"/>
    <w:basedOn w:val="DefaultParagraphFont"/>
    <w:rPr>
      <w:rFonts w:ascii="Poppins" w:eastAsia="Poppins" w:hAnsi="Poppins" w:cs="Poppins"/>
      <w:b/>
      <w:bCs/>
      <w:caps/>
      <w:spacing w:val="10"/>
      <w:sz w:val="56"/>
      <w:szCs w:val="56"/>
    </w:rPr>
  </w:style>
  <w:style w:type="paragraph" w:customStyle="1" w:styleId="skn-mly1top-sectionsection">
    <w:name w:val="skn-mly1_top-section_section"/>
    <w:basedOn w:val="Normal"/>
    <w:pPr>
      <w:pBdr>
        <w:top w:val="none" w:sz="0" w:space="0" w:color="auto"/>
      </w:pBdr>
    </w:pPr>
  </w:style>
  <w:style w:type="character" w:customStyle="1" w:styleId="cntc-secaddressadrs-fieldtable-cell">
    <w:name w:val="cntc-sec_address_adrs-field_table-cell"/>
    <w:basedOn w:val="DefaultParagraphFont"/>
  </w:style>
  <w:style w:type="character" w:customStyle="1" w:styleId="adrs-field-tablecircle">
    <w:name w:val="adrs-field-table_circle"/>
    <w:basedOn w:val="DefaultParagraphFont"/>
  </w:style>
  <w:style w:type="character" w:customStyle="1" w:styleId="adrs-field-tableaddr-circle">
    <w:name w:val="adrs-field-table_addr-circle"/>
    <w:basedOn w:val="DefaultParagraphFont"/>
  </w:style>
  <w:style w:type="table" w:customStyle="1" w:styleId="skn-mly1anyTable">
    <w:name w:val="skn-mly1_any Table"/>
    <w:basedOn w:val="TableNormal"/>
    <w:tblPr/>
  </w:style>
  <w:style w:type="table" w:customStyle="1" w:styleId="skn-mly1address">
    <w:name w:val="skn-mly1_address"/>
    <w:basedOn w:val="TableNormal"/>
    <w:tblPr/>
  </w:style>
  <w:style w:type="character" w:customStyle="1" w:styleId="skn-mly1top-sectionright-box">
    <w:name w:val="skn-mly1_top-section_right-box"/>
    <w:basedOn w:val="DefaultParagraphFont"/>
    <w:rPr>
      <w:shd w:val="clear" w:color="auto" w:fill="FFFFFF"/>
    </w:rPr>
  </w:style>
  <w:style w:type="paragraph" w:customStyle="1" w:styleId="skn-mly1right-boxsectionnth-child1">
    <w:name w:val="skn-mly1_right-box &gt; section_nth-child(1)"/>
    <w:basedOn w:val="Normal"/>
    <w:pPr>
      <w:pBdr>
        <w:top w:val="none" w:sz="0" w:space="0" w:color="auto"/>
      </w:pBdr>
    </w:pPr>
  </w:style>
  <w:style w:type="paragraph" w:customStyle="1" w:styleId="skn-mly1right-boxsectionnth-child1heading">
    <w:name w:val="skn-mly1_right-box &gt; section_nth-child(1)_heading"/>
    <w:basedOn w:val="Normal"/>
  </w:style>
  <w:style w:type="paragraph" w:customStyle="1" w:styleId="skn-mly1sectiontitle">
    <w:name w:val="skn-mly1_sectiontitle"/>
    <w:basedOn w:val="Normal"/>
    <w:rPr>
      <w:spacing w:val="20"/>
    </w:rPr>
  </w:style>
  <w:style w:type="character" w:customStyle="1" w:styleId="skn-mly1parent-containerleft-box">
    <w:name w:val="skn-mly1_parent-container_left-box"/>
    <w:basedOn w:val="DefaultParagraphFont"/>
    <w:rPr>
      <w:shd w:val="clear" w:color="auto" w:fill="FFFFFF"/>
    </w:rPr>
  </w:style>
  <w:style w:type="paragraph" w:customStyle="1" w:styleId="skn-mly1last-boxsectionnth-child1section-spacing">
    <w:name w:val="skn-mly1_last-box &gt; section_nth-child(1)_section-spacing"/>
    <w:basedOn w:val="Normal"/>
    <w:rPr>
      <w:vanish/>
    </w:rPr>
  </w:style>
  <w:style w:type="paragraph" w:customStyle="1" w:styleId="skn-mly1left-boxsectionnth-child1heading">
    <w:name w:val="skn-mly1_left-box &gt; section_nth-child(1)_heading"/>
    <w:basedOn w:val="Normal"/>
  </w:style>
  <w:style w:type="paragraph" w:customStyle="1" w:styleId="skn-mly1left-boxsinglecolumn">
    <w:name w:val="skn-mly1_left-box_singlecolumn"/>
    <w:basedOn w:val="Normal"/>
  </w:style>
  <w:style w:type="character" w:customStyle="1" w:styleId="singlecolumnspanpaddedlinenth-child1">
    <w:name w:val="singlecolumn_span_paddedline_nth-child(1)"/>
    <w:basedOn w:val="DefaultParagraphFont"/>
  </w:style>
  <w:style w:type="character" w:customStyle="1" w:styleId="skn-mly1txt-bold">
    <w:name w:val="skn-mly1_txt-bold"/>
    <w:basedOn w:val="DefaultParagraphFont"/>
    <w:rPr>
      <w:b/>
      <w:bCs/>
    </w:rPr>
  </w:style>
  <w:style w:type="character" w:customStyle="1" w:styleId="skn-mly1txtItl">
    <w:name w:val="skn-mly1_txtItl"/>
    <w:basedOn w:val="DefaultParagraphFont"/>
    <w:rPr>
      <w:i/>
      <w:iCs/>
    </w:rPr>
  </w:style>
  <w:style w:type="paragraph" w:customStyle="1" w:styleId="skn-mly1ulli">
    <w:name w:val="skn-mly1_ul_li"/>
    <w:basedOn w:val="Normal"/>
    <w:pPr>
      <w:pBdr>
        <w:left w:val="none" w:sz="0" w:space="5" w:color="auto"/>
      </w:pBdr>
    </w:pPr>
  </w:style>
  <w:style w:type="paragraph" w:customStyle="1" w:styleId="skn-mly1ullinth-last-child1">
    <w:name w:val="skn-mly1_ul_li_nth-last-child(1)"/>
    <w:basedOn w:val="Normal"/>
    <w:pPr>
      <w:pBdr>
        <w:bottom w:val="none" w:sz="0" w:space="0" w:color="auto"/>
      </w:pBdr>
    </w:pPr>
  </w:style>
  <w:style w:type="paragraph" w:customStyle="1" w:styleId="skn-mly1paragraph">
    <w:name w:val="skn-mly1_paragraph"/>
    <w:basedOn w:val="Normal"/>
  </w:style>
  <w:style w:type="paragraph" w:customStyle="1" w:styleId="skn-mly1section">
    <w:name w:val="skn-mly1_section"/>
    <w:basedOn w:val="Normal"/>
  </w:style>
  <w:style w:type="paragraph" w:customStyle="1" w:styleId="skn-mly1heading">
    <w:name w:val="skn-mly1_heading"/>
    <w:basedOn w:val="Normal"/>
    <w:pPr>
      <w:spacing w:line="280" w:lineRule="atLeast"/>
    </w:pPr>
    <w:rPr>
      <w:rFonts w:ascii="Poppins" w:eastAsia="Poppins" w:hAnsi="Poppins" w:cs="Poppins"/>
      <w:b/>
      <w:bCs/>
      <w:caps/>
      <w:sz w:val="24"/>
      <w:szCs w:val="24"/>
    </w:rPr>
  </w:style>
  <w:style w:type="paragraph" w:customStyle="1" w:styleId="skn-mly1refer-secheadingparagraphnotfirstparagraph">
    <w:name w:val="skn-mly1_refer-sec_heading + paragraph_not(.firstparagraph)"/>
    <w:basedOn w:val="Normal"/>
    <w:pPr>
      <w:pBdr>
        <w:top w:val="none" w:sz="0" w:space="0" w:color="auto"/>
      </w:pBdr>
    </w:pPr>
  </w:style>
  <w:style w:type="character" w:customStyle="1" w:styleId="skn-mly1parent-containerright-box">
    <w:name w:val="skn-mly1_parent-container_right-box"/>
    <w:basedOn w:val="DefaultParagraphFont"/>
    <w:rPr>
      <w:shd w:val="clear" w:color="auto" w:fill="FFFFFF"/>
    </w:rPr>
  </w:style>
  <w:style w:type="paragraph" w:customStyle="1" w:styleId="skn-mly1paddedline">
    <w:name w:val="skn-mly1_paddedline"/>
    <w:basedOn w:val="Normal"/>
  </w:style>
  <w:style w:type="character" w:customStyle="1" w:styleId="skn-mly1beforecolonspace">
    <w:name w:val="skn-mly1_beforecolonspace"/>
    <w:basedOn w:val="DefaultParagraphFont"/>
    <w:rPr>
      <w:vanish/>
    </w:rPr>
  </w:style>
  <w:style w:type="paragraph" w:customStyle="1" w:styleId="skn-mly1dsp-block">
    <w:name w:val="skn-mly1_dsp-block"/>
    <w:basedOn w:val="Normal"/>
  </w:style>
  <w:style w:type="paragraph" w:customStyle="1" w:styleId="skn-mly1cmn-secparagraph">
    <w:name w:val="skn-mly1_cmn-sec_paragraph"/>
    <w:basedOn w:val="Normal"/>
  </w:style>
  <w:style w:type="paragraph" w:customStyle="1" w:styleId="skn-mly1parent-containerright-boxParagraph">
    <w:name w:val="skn-mly1_parent-container_right-box Paragraph"/>
    <w:basedOn w:val="Normal"/>
    <w:pPr>
      <w:shd w:val="clear" w:color="auto" w:fill="FFFFFF"/>
    </w:pPr>
    <w:rPr>
      <w:shd w:val="clear" w:color="auto" w:fill="FFFFFF"/>
    </w:rPr>
  </w:style>
  <w:style w:type="table" w:customStyle="1" w:styleId="skn-mly1pagesize">
    <w:name w:val="skn-mly1_pagesiz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emf" /><Relationship Id="rId5" Type="http://schemas.openxmlformats.org/officeDocument/2006/relationships/image" Target="media/image2.emf" /><Relationship Id="rId6" Type="http://schemas.openxmlformats.org/officeDocument/2006/relationships/image" Target="media/image3.emf" /><Relationship Id="rId7" Type="http://schemas.openxmlformats.org/officeDocument/2006/relationships/image" Target="media/image4.emf" /><Relationship Id="rId8" Type="http://schemas.openxmlformats.org/officeDocument/2006/relationships/header" Target="header1.xml" /><Relationship Id="rId9" Type="http://schemas.openxmlformats.org/officeDocument/2006/relationships/footer" Target="foot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Mehra</dc:title>
  <cp:revision>0</cp:revision>
</cp:coreProperties>
</file>