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7top-section"/>
        <w:tblW w:w="0" w:type="auto"/>
        <w:tblCellSpacing w:w="0" w:type="dxa"/>
        <w:tblLayout w:type="fixed"/>
        <w:tblLook w:val="05E0"/>
      </w:tblPr>
      <w:tblGrid>
        <w:gridCol w:w="480"/>
        <w:gridCol w:w="3440"/>
        <w:gridCol w:w="240"/>
        <w:gridCol w:w="240"/>
        <w:gridCol w:w="7360"/>
        <w:gridCol w:w="480"/>
      </w:tblGrid>
      <w:tr>
        <w:tblPrEx>
          <w:tblW w:w="0" w:type="auto"/>
          <w:tblCellSpacing w:w="0" w:type="dxa"/>
          <w:tblLayout w:type="fixed"/>
          <w:tblLook w:val="05E0"/>
        </w:tblPrEx>
        <w:trPr>
          <w:tblCellSpacing w:w="0" w:type="dxa"/>
        </w:trPr>
        <w:tc>
          <w:tcPr>
            <w:tcW w:w="480" w:type="dxa"/>
            <w:shd w:val="clear" w:color="auto" w:fill="D3E5E5"/>
            <w:tcMar>
              <w:top w:w="480" w:type="dxa"/>
              <w:left w:w="0" w:type="dxa"/>
              <w:right w:w="0" w:type="dxa"/>
            </w:tcMar>
            <w:vAlign w:val="center"/>
            <w:hideMark/>
          </w:tcPr>
          <w:p>
            <w:pPr>
              <w:rPr>
                <w:rFonts w:ascii="Open Sans" w:eastAsia="Open Sans" w:hAnsi="Open Sans" w:cs="Open Sans"/>
                <w:b w:val="0"/>
                <w:bCs w:val="0"/>
                <w:color w:val="181818"/>
                <w:sz w:val="20"/>
                <w:szCs w:val="20"/>
              </w:rPr>
            </w:pPr>
          </w:p>
        </w:tc>
        <w:tc>
          <w:tcPr>
            <w:tcW w:w="3440" w:type="dxa"/>
            <w:shd w:val="clear" w:color="auto" w:fill="D3E5E5"/>
            <w:tcMar>
              <w:top w:w="480" w:type="dxa"/>
              <w:left w:w="0" w:type="dxa"/>
              <w:bottom w:w="480" w:type="dxa"/>
              <w:right w:w="0" w:type="dxa"/>
            </w:tcMar>
            <w:vAlign w:val="top"/>
            <w:hideMark/>
          </w:tcPr>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8240" behindDoc="0" locked="0" layoutInCell="1" allowOverlap="1">
                        <wp:simplePos x="0" y="0"/>
                        <wp:positionH relativeFrom="column">
                          <wp:align>center</wp:align>
                        </wp:positionH>
                        <wp:positionV relativeFrom="paragraph">
                          <wp:posOffset>0</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+91 98765 43210</w:t>
                  </w:r>
                  <w:r>
                    <w:rPr>
                      <w:rStyle w:val="skn-mly7cntc-secaddressicon-rowdiv"/>
                      <w:rFonts w:ascii="Open Sans" w:eastAsia="Open Sans" w:hAnsi="Open Sans" w:cs="Open Sans"/>
                      <w:b w:val="0"/>
                      <w:bCs w:val="0"/>
                      <w:color w:val="181818"/>
                      <w:sz w:val="20"/>
                      <w:szCs w:val="20"/>
                    </w:rPr>
                    <w:t xml:space="preserve"> </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9264" behindDoc="0" locked="0" layoutInCell="1" allowOverlap="1">
                        <wp:simplePos x="0" y="0"/>
                        <wp:positionH relativeFrom="column">
                          <wp:align>center</wp:align>
                        </wp:positionH>
                        <wp:positionV relativeFrom="paragraph">
                          <wp:posOffset>0</wp:posOffset>
                        </wp:positionV>
                        <wp:extent cx="152832" cy="152923"/>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anjali.kulkarni@example.com</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0288" behindDoc="0" locked="0" layoutInCell="1" allowOverlap="1">
                        <wp:simplePos x="0" y="0"/>
                        <wp:positionH relativeFrom="column">
                          <wp:align>center</wp:align>
                        </wp:positionH>
                        <wp:positionV relativeFrom="paragraph">
                          <wp:posOffset>0</wp:posOffset>
                        </wp:positionV>
                        <wp:extent cx="152832"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Bengaluru</w:t>
                  </w:r>
                  <w:r>
                    <w:rPr>
                      <w:rStyle w:val="skn-mly7cntc-secaddressicon-rowdiv"/>
                      <w:rFonts w:ascii="Open Sans" w:eastAsia="Open Sans" w:hAnsi="Open Sans" w:cs="Open Sans"/>
                      <w:b w:val="0"/>
                      <w:bCs w:val="0"/>
                      <w:color w:val="181818"/>
                      <w:sz w:val="20"/>
                      <w:szCs w:val="20"/>
                    </w:rPr>
                    <w:t>,</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Karnataka</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560038</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1312" behindDoc="0" locked="0" layoutInCell="1" allowOverlap="1">
                        <wp:simplePos x="0" y="0"/>
                        <wp:positionH relativeFrom="column">
                          <wp:align>center</wp:align>
                        </wp:positionH>
                        <wp:positionV relativeFrom="paragraph">
                          <wp:posOffset>0</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08 August 1988</w:t>
                  </w:r>
                  <w:r>
                    <w:rPr>
                      <w:rStyle w:val="skn-mly7cntc-secaddressicon-rowdiv"/>
                      <w:rFonts w:ascii="Open Sans" w:eastAsia="Open Sans" w:hAnsi="Open Sans" w:cs="Open Sans"/>
                      <w:b w:val="0"/>
                      <w:bCs w:val="0"/>
                      <w:color w:val="181818"/>
                      <w:sz w:val="20"/>
                      <w:szCs w:val="20"/>
                    </w:rPr>
                    <w:t xml:space="preserve"> </w:t>
                  </w:r>
                </w:p>
              </w:tc>
            </w:tr>
          </w:tbl>
          <w:p>
            <w:pPr>
              <w:spacing w:line="28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Professional Summary</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spacing w:before="200" w:after="200" w:line="280" w:lineRule="atLeas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Experienced in leading accounts payable operations with a focus on improving process efficiency and ensuring compliance. Skilled in invoice processing, vendor reconciliation, and team supervision, ready to enhance operational success. Seeking to leverage expertise as an Accounts Payable Supervisor to drive financial accuracy and support strategic growth initiatives.</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klisecheading"/>
              <w:spacing w:line="240" w:lineRule="atLeast"/>
              <w:rPr>
                <w:rStyle w:val="skn-mly7top-sectionleft-box"/>
                <w:rFonts w:ascii="Open Sans" w:eastAsia="Open Sans" w:hAnsi="Open Sans" w:cs="Open Sans"/>
                <w:b w:val="0"/>
                <w:bCs w:val="0"/>
                <w:color w:val="181818"/>
                <w:sz w:val="0"/>
                <w:szCs w:val="0"/>
              </w:rPr>
            </w:pPr>
            <w:r>
              <w:rPr>
                <w:rStyle w:val="skn-mly7sectiontitle"/>
                <w:b/>
                <w:bCs/>
                <w:caps/>
                <w:color w:val="181818"/>
              </w:rPr>
              <w:t>Skills</w:t>
            </w:r>
          </w:p>
          <w:p>
            <w:pPr>
              <w:numPr>
                <w:ilvl w:val="0"/>
                <w:numId w:val="1"/>
              </w:numPr>
              <w:spacing w:before="280" w:after="200" w:line="240" w:lineRule="atLeast"/>
              <w:ind w:left="250" w:right="250" w:hanging="192"/>
              <w:jc w:val="left"/>
              <w:rPr>
                <w:rStyle w:val="skn-mly7sklisecparagraphfirstparagraph"/>
                <w:rFonts w:ascii="Open Sans" w:eastAsia="Open Sans" w:hAnsi="Open Sans" w:cs="Open Sans"/>
                <w:b w:val="0"/>
                <w:bCs w:val="0"/>
                <w:color w:val="181818"/>
                <w:sz w:val="20"/>
                <w:szCs w:val="20"/>
              </w:rPr>
            </w:pPr>
            <w:r>
              <w:rPr>
                <w:rStyle w:val="skn-mly7sklisecparagraphfirstparagraph"/>
                <w:rFonts w:ascii="Open Sans" w:eastAsia="Open Sans" w:hAnsi="Open Sans" w:cs="Open Sans"/>
                <w:b w:val="0"/>
                <w:bCs w:val="0"/>
                <w:color w:val="181818"/>
                <w:sz w:val="20"/>
                <w:szCs w:val="20"/>
              </w:rPr>
              <w:t>Accounts Payable Operations</w:t>
            </w:r>
          </w:p>
          <w:p>
            <w:pPr>
              <w:numPr>
                <w:ilvl w:val="0"/>
                <w:numId w:val="2"/>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Invoice Processing</w:t>
            </w:r>
          </w:p>
          <w:p>
            <w:pPr>
              <w:numPr>
                <w:ilvl w:val="0"/>
                <w:numId w:val="3"/>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Vendor Reconciliation</w:t>
            </w:r>
          </w:p>
          <w:p>
            <w:pPr>
              <w:numPr>
                <w:ilvl w:val="0"/>
                <w:numId w:val="4"/>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Payment Processing</w:t>
            </w:r>
          </w:p>
          <w:p>
            <w:pPr>
              <w:numPr>
                <w:ilvl w:val="0"/>
                <w:numId w:val="5"/>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Team Supervision</w:t>
            </w:r>
          </w:p>
          <w:p>
            <w:pPr>
              <w:numPr>
                <w:ilvl w:val="0"/>
                <w:numId w:val="6"/>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Month-End Closing</w:t>
            </w:r>
          </w:p>
          <w:p>
            <w:pPr>
              <w:numPr>
                <w:ilvl w:val="0"/>
                <w:numId w:val="7"/>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Internal Controls</w:t>
            </w:r>
          </w:p>
          <w:p>
            <w:pPr>
              <w:numPr>
                <w:ilvl w:val="0"/>
                <w:numId w:val="8"/>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ERP Systems</w:t>
            </w:r>
          </w:p>
          <w:p>
            <w:pPr>
              <w:numPr>
                <w:ilvl w:val="0"/>
                <w:numId w:val="9"/>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Compliance Management</w:t>
            </w:r>
          </w:p>
          <w:p>
            <w:pPr>
              <w:numPr>
                <w:ilvl w:val="0"/>
                <w:numId w:val="10"/>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Process Improvement</w:t>
            </w:r>
          </w:p>
          <w:p>
            <w:pPr>
              <w:spacing w:line="400" w:lineRule="exact"/>
              <w:rPr>
                <w:rStyle w:val="skn-mly7top-sectionleft-box"/>
                <w:rFonts w:ascii="Open Sans" w:eastAsia="Open Sans" w:hAnsi="Open Sans" w:cs="Open Sans"/>
                <w:b w:val="0"/>
                <w:bCs w:val="0"/>
                <w:color w:val="181818"/>
                <w:sz w:val="0"/>
                <w:szCs w:val="0"/>
              </w:rPr>
            </w:pPr>
            <w:r>
              <w:rPr>
                <w:rStyle w:val="skn-mly7top-sectionleft-box"/>
                <w:rFonts w:ascii="Open Sans" w:eastAsia="Open Sans" w:hAnsi="Open Sans" w:cs="Open Sans"/>
                <w:b w:val="0"/>
                <w:bCs w:val="0"/>
                <w:color w:val="181818"/>
                <w:sz w:val="0"/>
                <w:szCs w:val="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Certifications</w:t>
            </w:r>
          </w:p>
          <w:p>
            <w:pPr>
              <w:numPr>
                <w:ilvl w:val="0"/>
                <w:numId w:val="11"/>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IIBF Certificate in Accounting and Finance</w:t>
            </w:r>
          </w:p>
          <w:p>
            <w:pPr>
              <w:numPr>
                <w:ilvl w:val="0"/>
                <w:numId w:val="12"/>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NSE Academy Certification in Financial Accounting</w:t>
            </w:r>
          </w:p>
          <w:p>
            <w:pPr>
              <w:numPr>
                <w:ilvl w:val="0"/>
                <w:numId w:val="13"/>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Certified Accounts Payable Professional, Institute of Finance &amp; Accounts</w:t>
            </w:r>
          </w:p>
          <w:p>
            <w:pPr>
              <w:numPr>
                <w:ilvl w:val="0"/>
                <w:numId w:val="14"/>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GST Practitioner Course, ICAI</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References</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paragraph"/>
              <w:spacing w:before="80" w:line="240" w:lineRule="atLeast"/>
              <w:rPr>
                <w:rStyle w:val="skn-mly7top-sectionleft-box"/>
                <w:rFonts w:ascii="Open Sans" w:eastAsia="Open Sans" w:hAnsi="Open Sans" w:cs="Open Sans"/>
                <w:b w:val="0"/>
                <w:bCs w:val="0"/>
                <w:color w:val="181818"/>
                <w:sz w:val="20"/>
                <w:szCs w:val="20"/>
              </w:rPr>
            </w:pPr>
            <w:r>
              <w:rPr>
                <w:rStyle w:val="xsltstaticchange"/>
                <w:rFonts w:ascii="Open Sans" w:eastAsia="Open Sans" w:hAnsi="Open Sans" w:cs="Open Sans"/>
                <w:b w:val="0"/>
                <w:bCs w:val="0"/>
                <w:color w:val="181818"/>
                <w:sz w:val="20"/>
                <w:szCs w:val="20"/>
              </w:rPr>
              <w:t>References available upon request</w:t>
            </w:r>
          </w:p>
          <w:p>
            <w:pPr>
              <w:spacing w:after="0" w:line="16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tc>
        <w:tc>
          <w:tcPr>
            <w:tcW w:w="240" w:type="dxa"/>
            <w:shd w:val="clear" w:color="auto" w:fill="D3E5E5"/>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240" w:type="dxa"/>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7360" w:type="dxa"/>
            <w:tcMar>
              <w:left w:w="0" w:type="dxa"/>
              <w:bottom w:w="480" w:type="dxa"/>
              <w:right w:w="0" w:type="dxa"/>
            </w:tcMar>
            <w:vAlign w:val="top"/>
            <w:hideMark/>
          </w:tcPr>
          <w:tbl>
            <w:tblPr>
              <w:tblStyle w:val="skn-mly7pict-table"/>
              <w:tblW w:w="0" w:type="auto"/>
              <w:tblCellSpacing w:w="0" w:type="dxa"/>
              <w:tblLayout w:type="fixed"/>
              <w:tblLook w:val="05E0"/>
            </w:tblPr>
            <w:tblGrid>
              <w:gridCol w:w="7360"/>
            </w:tblGrid>
            <w:tr>
              <w:tblPrEx>
                <w:tblW w:w="0" w:type="auto"/>
                <w:tblCellSpacing w:w="0" w:type="dxa"/>
                <w:tblLayout w:type="fixed"/>
                <w:tblLook w:val="05E0"/>
              </w:tblPrEx>
              <w:trPr>
                <w:tblCellSpacing w:w="0" w:type="dxa"/>
              </w:trPr>
              <w:tc>
                <w:tcPr>
                  <w:tcW w:w="7360" w:type="dxa"/>
                  <w:tcMar>
                    <w:left w:w="0" w:type="dxa"/>
                    <w:right w:w="0" w:type="dxa"/>
                  </w:tcMar>
                  <w:vAlign w:val="top"/>
                  <w:hideMark/>
                </w:tcPr>
                <w:p>
                  <w:pPr>
                    <w:pStyle w:val="skn-mly7txt-bold"/>
                    <w:spacing w:line="760" w:lineRule="atLeast"/>
                    <w:textAlignment w:val="top"/>
                    <w:rPr>
                      <w:rStyle w:val="skn-mly7top-sectionsectionnth-last-child1Character"/>
                      <w:rFonts w:ascii="Raleway" w:eastAsia="Raleway" w:hAnsi="Raleway" w:cs="Raleway"/>
                      <w:b/>
                      <w:bCs/>
                      <w:caps/>
                      <w:color w:val="217C7C"/>
                      <w:sz w:val="60"/>
                      <w:szCs w:val="60"/>
                    </w:rPr>
                  </w:pPr>
                  <w:r>
                    <w:rPr>
                      <w:rStyle w:val="fnam"/>
                      <w:rFonts w:ascii="Raleway" w:eastAsia="Raleway" w:hAnsi="Raleway" w:cs="Raleway"/>
                      <w:b/>
                      <w:bCs/>
                      <w:caps/>
                      <w:color w:val="217C7C"/>
                      <w:sz w:val="60"/>
                      <w:szCs w:val="60"/>
                    </w:rPr>
                    <w:t>Anjali</w:t>
                  </w:r>
                  <w:r>
                    <w:rPr>
                      <w:rStyle w:val="skn-mly7top-sectionsectionnth-last-child1Character"/>
                      <w:rFonts w:ascii="Raleway" w:eastAsia="Raleway" w:hAnsi="Raleway" w:cs="Raleway"/>
                      <w:b/>
                      <w:bCs/>
                      <w:caps/>
                      <w:color w:val="217C7C"/>
                      <w:sz w:val="60"/>
                      <w:szCs w:val="60"/>
                    </w:rPr>
                    <w:t xml:space="preserve"> </w:t>
                  </w:r>
                  <w:r>
                    <w:rPr>
                      <w:rStyle w:val="lnam"/>
                      <w:rFonts w:ascii="Raleway" w:eastAsia="Raleway" w:hAnsi="Raleway" w:cs="Raleway"/>
                      <w:b/>
                      <w:bCs/>
                      <w:caps/>
                      <w:color w:val="217C7C"/>
                      <w:sz w:val="60"/>
                      <w:szCs w:val="60"/>
                    </w:rPr>
                    <w:t>Kulkarni</w:t>
                  </w:r>
                </w:p>
                <w:p>
                  <w:pPr>
                    <w:pStyle w:val="skn-mly7resume-title"/>
                    <w:rPr>
                      <w:rStyle w:val="skn-mly7top-sectionsectionnth-last-child1Character"/>
                      <w:rFonts w:ascii="Open Sans" w:eastAsia="Open Sans" w:hAnsi="Open Sans" w:cs="Open Sans"/>
                      <w:b/>
                      <w:bCs/>
                      <w:color w:val="181818"/>
                      <w:sz w:val="28"/>
                      <w:szCs w:val="28"/>
                    </w:rPr>
                  </w:pPr>
                  <w:r>
                    <w:rPr>
                      <w:rStyle w:val="skn-mly7top-sectionsectionnth-last-child1Character"/>
                      <w:rFonts w:ascii="Open Sans" w:eastAsia="Open Sans" w:hAnsi="Open Sans" w:cs="Open Sans"/>
                      <w:b/>
                      <w:bCs/>
                      <w:color w:val="181818"/>
                    </w:rPr>
                    <w:t>Accounts Payable Supervisor</w:t>
                  </w:r>
                </w:p>
                <w:p>
                  <w:pPr>
                    <w:pStyle w:val="skn-mly7top-sectionsectionnth-last-child1"/>
                    <w:spacing w:line="240" w:lineRule="atLeast"/>
                    <w:rPr>
                      <w:rStyle w:val="skn-mly7top-sectionsectionnth-last-child1Character"/>
                      <w:rFonts w:ascii="Open Sans" w:eastAsia="Open Sans" w:hAnsi="Open Sans" w:cs="Open Sans"/>
                      <w:b w:val="0"/>
                      <w:bCs w:val="0"/>
                      <w:color w:val="181818"/>
                      <w:sz w:val="20"/>
                      <w:szCs w:val="20"/>
                    </w:rPr>
                  </w:pPr>
                </w:p>
              </w:tc>
            </w:tr>
          </w:tbl>
          <w:p>
            <w:pPr>
              <w:spacing w:line="240" w:lineRule="atLeast"/>
              <w:rPr>
                <w:rStyle w:val="skn-mly7top-sectionright-box"/>
                <w:rFonts w:ascii="Open Sans" w:eastAsia="Open Sans" w:hAnsi="Open Sans" w:cs="Open Sans"/>
                <w:b w:val="0"/>
                <w:bCs w:val="0"/>
                <w:color w:val="181818"/>
                <w:sz w:val="20"/>
                <w:szCs w:val="20"/>
              </w:rPr>
            </w:pP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Experience</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Accounts Payable Supervisor</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Tata AutoComp Systems Ltd</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Jul 2019</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Present</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Bengaluru</w:t>
                  </w:r>
                  <w:r>
                    <w:rPr>
                      <w:rStyle w:val="skn-mly7right-boxjob-positiondiv"/>
                      <w:rFonts w:ascii="Open Sans" w:eastAsia="Open Sans" w:hAnsi="Open Sans" w:cs="Open Sans"/>
                      <w:b w:val="0"/>
                      <w:bCs w:val="0"/>
                      <w:color w:val="181818"/>
                      <w:sz w:val="20"/>
                      <w:szCs w:val="20"/>
                    </w:rPr>
                    <w:t xml:space="preserve">, </w:t>
                  </w:r>
                  <w:r>
                    <w:rPr>
                      <w:rStyle w:val="skn-mly7right-boxjob-positiondiv"/>
                      <w:rFonts w:ascii="Open Sans" w:eastAsia="Open Sans" w:hAnsi="Open Sans" w:cs="Open Sans"/>
                      <w:b w:val="0"/>
                      <w:bCs w:val="0"/>
                      <w:color w:val="181818"/>
                      <w:sz w:val="20"/>
                      <w:szCs w:val="20"/>
                    </w:rPr>
                    <w:t>Karnataka</w:t>
                  </w:r>
                </w:p>
              </w:tc>
            </w:tr>
          </w:tbl>
          <w:p>
            <w:pPr>
              <w:pStyle w:val="skn-mly7expr-seculli"/>
              <w:numPr>
                <w:ilvl w:val="0"/>
                <w:numId w:val="15"/>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Supervised end-to-end accounts payable operations including invoice validation, approvals, and timely vendor payments.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Reviewed vendor invoices for accuracy, tax compliance, and proper documentation before processing payments.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Managed a team of six executives and allocated daily tasks to meet month-end closing timelines.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Coordinated with procurement teams to resolve purchase order mismatches and invoice discrepancies.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Prepared ageing reports and followed up on pending items to reduce overdue balances.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Supported internal and statutory audits by providing documents and explaining payable processes.</w:t>
            </w:r>
          </w:p>
          <w:p>
            <w:pPr>
              <w:pStyle w:val="skn-mly7ullinth-last-child1"/>
              <w:numPr>
                <w:ilvl w:val="0"/>
                <w:numId w:val="15"/>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Implemented process improvements that reduced invoice processing time and improved payment accuracy.</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Senior Accounts Payable Executive</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Bosch Limited</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Jun 2015</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Jun 2019</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Coimbatore</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6"/>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Processed high-volume vendor invoices while ensuring correct accounting entries and tax deductions.</w:t>
            </w:r>
          </w:p>
          <w:p>
            <w:pPr>
              <w:pStyle w:val="skn-mly7expr-seculli"/>
              <w:numPr>
                <w:ilvl w:val="0"/>
                <w:numId w:val="16"/>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Performed regular vendor statement reconciliations and resolved payment differences promptly.</w:t>
            </w:r>
          </w:p>
          <w:p>
            <w:pPr>
              <w:pStyle w:val="skn-mly7expr-seculli"/>
              <w:numPr>
                <w:ilvl w:val="0"/>
                <w:numId w:val="16"/>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Assisted in month-end and year-end closing activities related to accounts payable.</w:t>
            </w:r>
          </w:p>
          <w:p>
            <w:pPr>
              <w:pStyle w:val="skn-mly7expr-seculli"/>
              <w:numPr>
                <w:ilvl w:val="0"/>
                <w:numId w:val="16"/>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Coordinated with treasury team for payment runs and bank confirmations.</w:t>
            </w:r>
          </w:p>
          <w:p>
            <w:pPr>
              <w:pStyle w:val="skn-mly7expr-seculli"/>
              <w:numPr>
                <w:ilvl w:val="0"/>
                <w:numId w:val="16"/>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Maintained master data accuracy for vendors in ERP system.</w:t>
            </w:r>
          </w:p>
          <w:p>
            <w:pPr>
              <w:pStyle w:val="skn-mly7expr-seculli"/>
              <w:numPr>
                <w:ilvl w:val="0"/>
                <w:numId w:val="16"/>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Responded to vendor queries regarding payments, deductions, and invoice status.</w:t>
            </w:r>
          </w:p>
          <w:p>
            <w:pPr>
              <w:pStyle w:val="skn-mly7ullinth-last-child1"/>
              <w:numPr>
                <w:ilvl w:val="0"/>
                <w:numId w:val="16"/>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Supported process documentation and trained new joiners in accounts payable procedures.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Education</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10th Standard</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St Joseph's Convent School</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Mar 2004</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12th Standard</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MES Pre-University College</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Mar 2006</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Bachelor of Commerce (B.Com)</w:t>
                  </w:r>
                  <w:r>
                    <w:rPr>
                      <w:rStyle w:val="skn-mly7right-boxeducationjob-details"/>
                      <w:rFonts w:ascii="Open Sans SemiBold" w:eastAsia="Open Sans SemiBold" w:hAnsi="Open Sans SemiBold" w:cs="Open Sans SemiBold"/>
                      <w:b/>
                      <w:bCs/>
                      <w:color w:val="181818"/>
                      <w:sz w:val="22"/>
                      <w:szCs w:val="22"/>
                    </w:rPr>
                    <w:t xml:space="preserve"> </w:t>
                  </w:r>
                  <w:r>
                    <w:rPr>
                      <w:rStyle w:val="xsltstaticchange"/>
                      <w:rFonts w:ascii="Open Sans SemiBold" w:eastAsia="Open Sans SemiBold" w:hAnsi="Open Sans SemiBold" w:cs="Open Sans SemiBold"/>
                      <w:b/>
                      <w:bCs/>
                      <w:color w:val="181818"/>
                      <w:sz w:val="22"/>
                      <w:szCs w:val="22"/>
                    </w:rPr>
                    <w:t>in</w:t>
                  </w:r>
                  <w:r>
                    <w:rPr>
                      <w:rStyle w:val="skn-mly7right-boxeducationjob-details"/>
                      <w:rFonts w:ascii="Open Sans SemiBold" w:eastAsia="Open Sans SemiBold" w:hAnsi="Open Sans SemiBold" w:cs="Open Sans SemiBold"/>
                      <w:b/>
                      <w:bCs/>
                      <w:color w:val="181818"/>
                      <w:sz w:val="22"/>
                      <w:szCs w:val="22"/>
                    </w:rPr>
                    <w:t xml:space="preserve"> </w:t>
                  </w:r>
                  <w:r>
                    <w:rPr>
                      <w:rStyle w:val="skn-mly7right-boxeducationjob-details"/>
                      <w:rFonts w:ascii="Open Sans SemiBold" w:eastAsia="Open Sans SemiBold" w:hAnsi="Open Sans SemiBold" w:cs="Open Sans SemiBold"/>
                      <w:b/>
                      <w:bCs/>
                      <w:color w:val="181818"/>
                      <w:sz w:val="22"/>
                      <w:szCs w:val="22"/>
                    </w:rPr>
                    <w:t>Accounting and Finance</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Bangalore University</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Apr 2009</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Projects</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Invoice Automation Project, Supported implementation of invoice scanning and workflow approval system. Vendor Reconciliation Drive, Led special reconciliation project to clear long-pending vendor balances.</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Accomplishments</w:t>
            </w:r>
          </w:p>
          <w:p>
            <w:pPr>
              <w:pStyle w:val="skn-mly7ulli"/>
              <w:numPr>
                <w:ilvl w:val="0"/>
                <w:numId w:val="17"/>
              </w:numPr>
              <w:spacing w:before="160"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Reduced invoice backlog by 30% at Tata AutoComp Systems Ltd through process restructuring.</w:t>
            </w:r>
          </w:p>
          <w:p>
            <w:pPr>
              <w:pStyle w:val="skn-mly7ulli"/>
              <w:numPr>
                <w:ilvl w:val="0"/>
                <w:numId w:val="17"/>
              </w:numPr>
              <w:spacing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Recognized at Bosch Limited for consistent accuracy during statutory audit periods.</w:t>
            </w:r>
          </w:p>
          <w:p>
            <w:pPr>
              <w:pStyle w:val="skn-mly7ullinth-last-child1"/>
              <w:numPr>
                <w:ilvl w:val="0"/>
                <w:numId w:val="17"/>
              </w:numPr>
              <w:pBdr>
                <w:left w:val="none" w:sz="0" w:space="3" w:color="auto"/>
              </w:pBdr>
              <w:spacing w:after="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Improved vendor satisfaction scores by ensuring timely and transparent payment communication.</w:t>
            </w:r>
          </w:p>
          <w:p>
            <w:pPr>
              <w:spacing w:after="0"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p>
        </w:tc>
        <w:tc>
          <w:tcPr>
            <w:tcW w:w="480" w:type="dxa"/>
            <w:tcMar>
              <w:top w:w="480" w:type="dxa"/>
              <w:left w:w="0" w:type="dxa"/>
              <w:right w:w="0" w:type="dxa"/>
            </w:tcMar>
            <w:vAlign w:val="center"/>
            <w:hideMark/>
          </w:tcPr>
          <w:p>
            <w:pPr>
              <w:spacing w:line="240" w:lineRule="atLeast"/>
              <w:rPr>
                <w:rStyle w:val="skn-mly7top-sectionright-box"/>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03B5635B-7ABD-4BA9-B120-689FE48917E1}"/>
    <w:embedBold r:id="rId2" w:fontKey="{4195A217-DC06-4F0E-9CAE-6EF902FDAB0F}"/>
  </w:font>
  <w:font w:name="Raleway">
    <w:charset w:val="00"/>
    <w:family w:val="auto"/>
    <w:pitch w:val="default"/>
    <w:embedRegular r:id="rId3" w:fontKey="{56F4839E-BDA8-447C-A251-0B33F414D3E3}"/>
    <w:embedBold r:id="rId4" w:fontKey="{5019356E-AFF4-4EFC-B6C5-9262BB3B342D}"/>
  </w:font>
  <w:font w:name="Open Sans SemiBold">
    <w:charset w:val="00"/>
    <w:family w:val="auto"/>
    <w:pitch w:val="default"/>
    <w:embedRegular r:id="rId5" w:fontKey="{C1F0236A-0CFD-45D1-8C7F-6D1627D5D147}"/>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a6cbcb" stroked="f">
          <v:path strokeok="f"/>
        </v:rect>
      </w:pict>
    </w:r>
    <w:r>
      <w:rPr>
        <w:rStyle w:val="skn-mly7top-sectionright-box"/>
        <w:rFonts w:ascii="Open Sans" w:eastAsia="Open Sans" w:hAnsi="Open Sans" w:cs="Open Sans"/>
        <w:b w:val="0"/>
        <w:bCs w:val="0"/>
        <w:color w:val="181818"/>
        <w:sz w:val="20"/>
        <w:szCs w:val="20"/>
      </w:rPr>
      <w:drawing>
        <wp:anchor simplePos="0" relativeHeight="251659264" behindDoc="1" locked="0" layoutInCell="1" allowOverlap="1">
          <wp:simplePos x="0" y="0"/>
          <wp:positionH relativeFrom="column">
            <wp:posOffset>2641600</wp:posOffset>
          </wp:positionH>
          <wp:positionV relativeFrom="paragraph">
            <wp:posOffset>8242300</wp:posOffset>
          </wp:positionV>
          <wp:extent cx="5118735" cy="181774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1"/>
                  <a:stretch>
                    <a:fillRect/>
                  </a:stretch>
                </pic:blipFill>
                <pic:spPr>
                  <a:xfrm>
                    <a:off x="0" y="0"/>
                    <a:ext cx="5118735" cy="1817749"/>
                  </a:xfrm>
                  <a:prstGeom prst="rect">
                    <a:avLst/>
                  </a:prstGeom>
                </pic:spPr>
              </pic:pic>
            </a:graphicData>
          </a:graphic>
        </wp:anchor>
      </w:drawing>
    </w:r>
    <w:r>
      <w:rPr>
        <w:rStyle w:val="skn-mly7top-sectionright-box"/>
        <w:rFonts w:ascii="Open Sans" w:eastAsia="Open Sans" w:hAnsi="Open Sans" w:cs="Open Sans"/>
        <w:b w:val="0"/>
        <w:bCs w:val="0"/>
        <w:color w:val="181818"/>
        <w:sz w:val="20"/>
        <w:szCs w:val="20"/>
      </w:rPr>
      <w:drawing>
        <wp:anchor simplePos="0" relativeHeight="251660288" behindDoc="1" locked="0" layoutInCell="1" allowOverlap="1">
          <wp:simplePos x="0" y="0"/>
          <wp:positionH relativeFrom="column">
            <wp:posOffset>2641600</wp:posOffset>
          </wp:positionH>
          <wp:positionV relativeFrom="paragraph">
            <wp:posOffset>0</wp:posOffset>
          </wp:positionV>
          <wp:extent cx="5118735" cy="2664884"/>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2"/>
                  <a:stretch>
                    <a:fillRect/>
                  </a:stretch>
                </pic:blipFill>
                <pic:spPr>
                  <a:xfrm>
                    <a:off x="0" y="0"/>
                    <a:ext cx="5118735" cy="2664884"/>
                  </a:xfrm>
                  <a:prstGeom prst="rect">
                    <a:avLst/>
                  </a:prstGeom>
                </pic:spPr>
              </pic:pic>
            </a:graphicData>
          </a:graphic>
        </wp:anchor>
      </w:drawing>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7pagesize">
    <w:name w:val="skn-mly7_pagesize"/>
    <w:basedOn w:val="Normal"/>
  </w:style>
  <w:style w:type="character" w:customStyle="1" w:styleId="skn-mly7top-sectionleftboxleftpaddingcell">
    <w:name w:val="skn-mly7_top-section_leftboxleftpaddingcell"/>
    <w:basedOn w:val="DefaultParagraphFont"/>
  </w:style>
  <w:style w:type="character" w:customStyle="1" w:styleId="skn-mly7top-sectionleft-box">
    <w:name w:val="skn-mly7_top-section_left-box"/>
    <w:basedOn w:val="DefaultParagraphFont"/>
  </w:style>
  <w:style w:type="paragraph" w:customStyle="1" w:styleId="skn-mly7top-sectionleft-boxsectioncntc-sec">
    <w:name w:val="skn-mly7_top-section_left-box_section_cntc-sec"/>
    <w:basedOn w:val="Normal"/>
    <w:pPr>
      <w:pBdr>
        <w:top w:val="none" w:sz="0" w:space="24" w:color="auto"/>
      </w:pBdr>
    </w:pPr>
  </w:style>
  <w:style w:type="paragraph" w:customStyle="1" w:styleId="skn-mly7address">
    <w:name w:val="skn-mly7_address"/>
    <w:basedOn w:val="Normal"/>
  </w:style>
  <w:style w:type="character" w:customStyle="1" w:styleId="skn-mly7cntc-secaddressicon-rowdiv">
    <w:name w:val="skn-mly7_cntc-sec_address_icon-row &gt; div"/>
    <w:basedOn w:val="DefaultParagraphFont"/>
  </w:style>
  <w:style w:type="table" w:customStyle="1" w:styleId="skn-mly7cntc-secaddressicon-row">
    <w:name w:val="skn-mly7_cntc-sec_address_icon-row"/>
    <w:basedOn w:val="TableNormal"/>
    <w:tblPr/>
  </w:style>
  <w:style w:type="paragraph" w:customStyle="1" w:styleId="skn-mly7section">
    <w:name w:val="skn-mly7_section"/>
    <w:basedOn w:val="Normal"/>
  </w:style>
  <w:style w:type="character" w:customStyle="1" w:styleId="skn-mly7sectiontitle">
    <w:name w:val="skn-mly7_sectiontitle"/>
    <w:basedOn w:val="DefaultParagraphFont"/>
    <w:rPr>
      <w:rFonts w:ascii="Raleway" w:eastAsia="Raleway" w:hAnsi="Raleway" w:cs="Raleway"/>
      <w:b/>
      <w:bCs/>
      <w:caps/>
      <w:spacing w:val="6"/>
      <w:sz w:val="24"/>
      <w:szCs w:val="24"/>
    </w:rPr>
  </w:style>
  <w:style w:type="paragraph" w:customStyle="1" w:styleId="skn-mly7sklisecheading">
    <w:name w:val="skn-mly7_skli_sec_heading"/>
    <w:basedOn w:val="Normal"/>
  </w:style>
  <w:style w:type="character" w:customStyle="1" w:styleId="skn-mly7sklisecparagraphfirstparagraph">
    <w:name w:val="skn-mly7_skli_sec_paragraph_firstparagraph"/>
    <w:basedOn w:val="DefaultParagraphFont"/>
  </w:style>
  <w:style w:type="paragraph" w:customStyle="1" w:styleId="skn-mly7ullinth-last-child1">
    <w:name w:val="skn-mly7_ul_li_nth-last-child(1)"/>
    <w:basedOn w:val="Normal"/>
  </w:style>
  <w:style w:type="character" w:customStyle="1" w:styleId="skn-mly7sklisecdivparagraph">
    <w:name w:val="skn-mly7_skli_sec_div_paragraph"/>
    <w:basedOn w:val="DefaultParagraphFont"/>
  </w:style>
  <w:style w:type="paragraph" w:customStyle="1" w:styleId="skn-mly7similar-secheading">
    <w:name w:val="skn-mly7_similar-sec_heading"/>
    <w:basedOn w:val="Normal"/>
  </w:style>
  <w:style w:type="paragraph" w:customStyle="1" w:styleId="skn-mly7similar-secparagraph">
    <w:name w:val="skn-mly7_similar-sec_paragraph"/>
    <w:basedOn w:val="Normal"/>
  </w:style>
  <w:style w:type="paragraph" w:customStyle="1" w:styleId="skn-mly7top-sectionsectionnth-last-child1">
    <w:name w:val="skn-mly7_top-section_section_nth-last-child(1)"/>
    <w:basedOn w:val="Normal"/>
  </w:style>
  <w:style w:type="character" w:customStyle="1" w:styleId="xsltstaticchange">
    <w:name w:val="xslt_static_change"/>
    <w:basedOn w:val="DefaultParagraphFont"/>
  </w:style>
  <w:style w:type="character" w:customStyle="1" w:styleId="skn-mly7top-sectionleftboxrightpaddingcell">
    <w:name w:val="skn-mly7_top-section_leftboxrightpaddingcell"/>
    <w:basedOn w:val="DefaultParagraphFont"/>
  </w:style>
  <w:style w:type="character" w:customStyle="1" w:styleId="skn-mly7top-sectionrightboxleftpaddingcell">
    <w:name w:val="skn-mly7_top-section_rightboxleftpaddingcell"/>
    <w:basedOn w:val="DefaultParagraphFont"/>
  </w:style>
  <w:style w:type="character" w:customStyle="1" w:styleId="skn-mly7top-sectionright-box">
    <w:name w:val="skn-mly7_top-section_right-box"/>
    <w:basedOn w:val="DefaultParagraphFont"/>
  </w:style>
  <w:style w:type="character" w:customStyle="1" w:styleId="skn-mly7top-sectionsectionnth-last-child1Character">
    <w:name w:val="skn-mly7_top-section_section_nth-last-child(1) Character"/>
    <w:basedOn w:val="DefaultParagraphFont"/>
  </w:style>
  <w:style w:type="paragraph" w:customStyle="1" w:styleId="skn-mly7txt-bold">
    <w:name w:val="skn-mly7_txt-bold"/>
    <w:basedOn w:val="Normal"/>
    <w:rPr>
      <w:b/>
      <w:bCs/>
    </w:rPr>
  </w:style>
  <w:style w:type="character" w:customStyle="1" w:styleId="fnam">
    <w:name w:val="fnam"/>
    <w:basedOn w:val="DefaultParagraphFont"/>
  </w:style>
  <w:style w:type="character" w:customStyle="1" w:styleId="lnam">
    <w:name w:val="lnam"/>
    <w:basedOn w:val="DefaultParagraphFont"/>
  </w:style>
  <w:style w:type="paragraph" w:customStyle="1" w:styleId="skn-mly7resume-title">
    <w:name w:val="skn-mly7_resume-title"/>
    <w:basedOn w:val="Normal"/>
    <w:pPr>
      <w:spacing w:line="320" w:lineRule="atLeast"/>
    </w:pPr>
    <w:rPr>
      <w:b/>
      <w:bCs/>
      <w:sz w:val="28"/>
      <w:szCs w:val="28"/>
    </w:rPr>
  </w:style>
  <w:style w:type="table" w:customStyle="1" w:styleId="skn-mly7pict-table">
    <w:name w:val="skn-mly7_pict-table"/>
    <w:basedOn w:val="TableNormal"/>
    <w:tblPr/>
  </w:style>
  <w:style w:type="paragraph" w:customStyle="1" w:styleId="skn-mly7top-pattern">
    <w:name w:val="skn-mly7_top-pattern"/>
    <w:basedOn w:val="Normal"/>
  </w:style>
  <w:style w:type="paragraph" w:customStyle="1" w:styleId="skn-mly7top-sectionright-boxsinglecolumn">
    <w:name w:val="skn-mly7_top-section_right-box_singlecolumn"/>
    <w:basedOn w:val="Normal"/>
  </w:style>
  <w:style w:type="character" w:customStyle="1" w:styleId="skn-mly7right-boxjob-positiondiv">
    <w:name w:val="skn-mly7_right-box_job-position &gt; div"/>
    <w:basedOn w:val="DefaultParagraphFont"/>
  </w:style>
  <w:style w:type="paragraph" w:customStyle="1" w:styleId="skn-mly7disp-block">
    <w:name w:val="skn-mly7_disp-block"/>
    <w:basedOn w:val="Normal"/>
  </w:style>
  <w:style w:type="character" w:customStyle="1" w:styleId="skn-mly7right-boxparagraphfirstparagraphjobpaddingcell">
    <w:name w:val="skn-mly7_right-box_paragraph_firstparagraph_jobpaddingcell"/>
    <w:basedOn w:val="DefaultParagraphFont"/>
  </w:style>
  <w:style w:type="paragraph" w:customStyle="1" w:styleId="skn-mly7right-boxparagraphfirstparagraphjobpaddingcellParagraph">
    <w:name w:val="skn-mly7_right-box_paragraph_firstparagraph_jobpaddingcell Paragraph"/>
    <w:basedOn w:val="Normal"/>
    <w:pPr>
      <w:pBdr>
        <w:top w:val="none" w:sz="0" w:space="0" w:color="auto"/>
      </w:pBdr>
    </w:pPr>
  </w:style>
  <w:style w:type="table" w:customStyle="1" w:styleId="skn-mly7right-boxjob-position">
    <w:name w:val="skn-mly7_right-box_job-position"/>
    <w:basedOn w:val="TableNormal"/>
    <w:tblPr/>
  </w:style>
  <w:style w:type="paragraph" w:customStyle="1" w:styleId="skn-mly7expr-seculli">
    <w:name w:val="skn-mly7_expr-sec_ul_li"/>
    <w:basedOn w:val="Normal"/>
  </w:style>
  <w:style w:type="character" w:customStyle="1" w:styleId="skn-mly7expr-seculliCharacter">
    <w:name w:val="skn-mly7_expr-sec_ul_li Character"/>
    <w:basedOn w:val="DefaultParagraphFont"/>
  </w:style>
  <w:style w:type="character" w:customStyle="1" w:styleId="skn-mly7ullinth-last-child1Character">
    <w:name w:val="skn-mly7_ul_li_nth-last-child(1) Character"/>
    <w:basedOn w:val="DefaultParagraphFont"/>
  </w:style>
  <w:style w:type="paragraph" w:customStyle="1" w:styleId="skn-mly7right-boxjob-positiondivParagraph">
    <w:name w:val="skn-mly7_right-box_job-position &gt; div Paragraph"/>
    <w:basedOn w:val="Normal"/>
    <w:pPr>
      <w:textAlignment w:val="top"/>
    </w:pPr>
  </w:style>
  <w:style w:type="character" w:customStyle="1" w:styleId="skn-mly7right-boxeducationjob-details">
    <w:name w:val="skn-mly7_right-box_education_job-details"/>
    <w:basedOn w:val="DefaultParagraphFont"/>
  </w:style>
  <w:style w:type="character" w:customStyle="1" w:styleId="skn-mly7right-boxeducationjob-date">
    <w:name w:val="skn-mly7_right-box_education_job-date"/>
    <w:basedOn w:val="DefaultParagraphFont"/>
  </w:style>
  <w:style w:type="character" w:customStyle="1" w:styleId="jobdates">
    <w:name w:val="jobdates"/>
    <w:basedOn w:val="DefaultParagraphFont"/>
  </w:style>
  <w:style w:type="paragraph" w:customStyle="1" w:styleId="skn-mly7top-sectionright-boxeducationparagraphempty-div">
    <w:name w:val="skn-mly7_top-section_right-box_education_paragraphempty-div"/>
    <w:basedOn w:val="Normal"/>
    <w:rPr>
      <w:vanish/>
    </w:rPr>
  </w:style>
  <w:style w:type="paragraph" w:customStyle="1" w:styleId="skn-mly7top-sectionright-boxsectionnth-last-child2">
    <w:name w:val="skn-mly7_top-section_right-box &gt; section_nth-last-child(2)"/>
    <w:basedOn w:val="Normal"/>
  </w:style>
  <w:style w:type="paragraph" w:customStyle="1" w:styleId="skn-mly7ulli">
    <w:name w:val="skn-mly7_ul_li"/>
    <w:basedOn w:val="Normal"/>
    <w:pPr>
      <w:pBdr>
        <w:left w:val="none" w:sz="0" w:space="3" w:color="auto"/>
      </w:pBdr>
    </w:pPr>
  </w:style>
  <w:style w:type="paragraph" w:customStyle="1" w:styleId="skn-mly7foot-pattern">
    <w:name w:val="skn-mly7_foot-pattern"/>
    <w:basedOn w:val="Normal"/>
  </w:style>
  <w:style w:type="character" w:customStyle="1" w:styleId="skn-mly7top-sectionrightboxrightpaddingcell">
    <w:name w:val="skn-mly7_top-section_rightboxrightpaddingcell"/>
    <w:basedOn w:val="DefaultParagraphFont"/>
  </w:style>
  <w:style w:type="table" w:customStyle="1" w:styleId="skn-mly7top-section">
    <w:name w:val="skn-mly7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Anjali Kulkarni</dc:title>
  <cp:revision>0</cp:revision>
</cp:coreProperties>
</file>