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20"/>
        <w:gridCol w:w="20"/>
        <w:gridCol w:w="1124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Rohan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Deshmukh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  <w:t>Accounts Payable Clerk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5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rohan.deshmukh@example.com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Mumbai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400069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14 February 1996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Invoice Processing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Accounts Payable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Vendor Coordination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Payment Processing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Data Entry Accuracy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ERP Systems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GST Compliance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Reconciliation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Documentation Management</w:t>
            </w:r>
          </w:p>
          <w:p>
            <w:pPr>
              <w:pStyle w:val="skn-mlx5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Month-End Support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Tally Prime with GST Certification</w:t>
            </w:r>
          </w:p>
          <w:p>
            <w:pPr>
              <w:pStyle w:val="skn-mlx5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IIBF Certificate in Accounting Operations</w:t>
            </w:r>
          </w:p>
          <w:p>
            <w:pPr>
              <w:pStyle w:val="skn-mlx5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Certificate Course in Accounts Executive, ICA Edu Skills</w:t>
            </w:r>
          </w:p>
          <w:p>
            <w:pPr>
              <w:pStyle w:val="skn-mlx5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GST Fundamentals Certification, Institute of Finance &amp; Accounts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E28925"/>
                <w:spacing w:val="6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Experienced in accounts payable processes, including invoice processing, vendor coordination, and payment reconciliation, with a strong focus on accuracy and compliance. Skilled in ERP systems, documentation management, and month-end financial support to streamline operations. Bringing expertise in maintaining efficient workflows and fostering effective vendor relationships.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Accounts Payable Clerk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Larsen &amp; Toubro Infotech Ltd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Aug 2021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Processed vendor invoices daily after verifying tax details, approvals, and supporting documents.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Entered invoice data accurately into ERP system while maintaining proper accounting codes.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Coordinated with vendors to clarify invoice issues and payment related queries.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senior staff in preparing weekly and monthly payment runs.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Maintained digital and physical records of invoices, debit notes, and payment proofs.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Supported month-end closing by providing payable reports and reconciliation details.</w:t>
            </w:r>
          </w:p>
          <w:p>
            <w:pPr>
              <w:pStyle w:val="skn-mlx5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Followed internal controls and compliance requirements during invoice and payment processing.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Junior Accounts Executive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Wipro Limited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Jul 2018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Jul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Chennai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Checked purchase orders and matched invoices before forwarding for approval.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in vendor ledger reconciliation and identified pending or duplicate entries.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Updated vendor master data under supervision to ensure accurate payment processing.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Responded to vendor emails regarding invoice status and payment timelines.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basic ageing reports for review by accounts payable supervisor.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Supported audit requirements by sharing invoice copies and payment records.</w:t>
            </w:r>
          </w:p>
          <w:p>
            <w:pPr>
              <w:pStyle w:val="skn-mlx5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Followed standard operating procedures to maintain accuracy and data consistency.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New Horizon Public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2012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KJ Somaiya Junior College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2014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Commerce (B.Com)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Accounting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University of Mumbai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2017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Invoice Digitization Support: Assisted team in organizing and indexing scanned vendor invoices. Vendor Balance Cleanup: Supported reconciliation exercise to clear long-pending vendor balances.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Accomplishments</w:t>
            </w:r>
          </w:p>
          <w:p>
            <w:pPr>
              <w:pStyle w:val="skn-mlx5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Maintained zero duplicate invoice entries for two consecutive years at Larsen &amp; Toubro Infotech Ltd.</w:t>
            </w:r>
          </w:p>
          <w:p>
            <w:pPr>
              <w:pStyle w:val="skn-mlx5ulli"/>
              <w:numPr>
                <w:ilvl w:val="0"/>
                <w:numId w:val="1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Recognized by Wipro Limited for accuracy and timely completion of payable tasks.</w:t>
            </w:r>
          </w:p>
          <w:p>
            <w:pPr>
              <w:pStyle w:val="skn-mlx5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Supported audit closures without observations related to invoice documentation.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181818"/>
          <w:sz w:val="20"/>
          <w:szCs w:val="20"/>
        </w:rPr>
      </w:pPr>
    </w:p>
    <w:sectPr>
      <w:headerReference w:type="default" r:id="rId7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</w:font>
  <w:font w:name="Open Sans Light">
    <w:charset w:val="00"/>
    <w:family w:val="auto"/>
    <w:pitch w:val="default"/>
  </w:font>
  <w:font w:name="Open Sans SemiBold">
    <w:charset w:val="00"/>
    <w:family w:val="auto"/>
    <w:pitch w:val="default"/>
  </w:font>
  <w:font w:name="Symbol">
    <w:charset w:val="00"/>
    <w:family w:val="auto"/>
    <w:pitch w:val="default"/>
  </w:font>
  <w:font w:name="Teko">
    <w:charset w:val="00"/>
    <w:family w:val="auto"/>
    <w:pitch w:val="default"/>
  </w:font>
  <w:font w:name="Teko SemiBold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2068705674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705674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E28925"/>
      <w:spacing w:val="6"/>
      <w:sz w:val="24"/>
      <w:szCs w:val="24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paragraph" w:customStyle="1" w:styleId="skn-mlx5ulli">
    <w:name w:val="skn-mlx5_ul_li"/>
    <w:basedOn w:val="Normal"/>
    <w:pPr>
      <w:pBdr>
        <w:left w:val="none" w:sz="0" w:space="3" w:color="auto"/>
      </w:pBdr>
    </w:pPr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Deshmukh</dc:title>
  <cp:revision>0</cp:revision>
</cp:coreProperties>
</file>