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3top-section"/>
        <w:tblW w:w="0" w:type="auto"/>
        <w:tblCellSpacing w:w="0" w:type="dxa"/>
        <w:tblLayout w:type="fixed"/>
        <w:tblCellMar>
          <w:top w:w="0" w:type="dxa"/>
          <w:left w:w="0" w:type="dxa"/>
          <w:bottom w:w="400" w:type="dxa"/>
          <w:right w:w="0" w:type="dxa"/>
        </w:tblCellMar>
        <w:tblLook w:val="05E0"/>
      </w:tblPr>
      <w:tblGrid>
        <w:gridCol w:w="11320"/>
      </w:tblGrid>
      <w:tr>
        <w:tblPrEx>
          <w:tblW w:w="0" w:type="auto"/>
          <w:tblCellSpacing w:w="0" w:type="dxa"/>
          <w:tblLayout w:type="fixed"/>
          <w:tblCellMar>
            <w:top w:w="0" w:type="dxa"/>
            <w:left w:w="0" w:type="dxa"/>
            <w:bottom w:w="400" w:type="dxa"/>
            <w:right w:w="0" w:type="dxa"/>
          </w:tblCellMar>
          <w:tblLook w:val="05E0"/>
        </w:tblPrEx>
        <w:trPr>
          <w:tblCellSpacing w:w="0" w:type="dxa"/>
        </w:trPr>
        <w:tc>
          <w:tcPr>
            <w:tcW w:w="11320" w:type="dxa"/>
            <w:tcMar>
              <w:top w:w="0" w:type="dxa"/>
              <w:left w:w="0" w:type="dxa"/>
              <w:bottom w:w="400" w:type="dxa"/>
              <w:right w:w="0" w:type="dxa"/>
            </w:tcMar>
            <w:vAlign w:val="top"/>
            <w:hideMark/>
          </w:tcPr>
          <w:p>
            <w:pPr>
              <w:pStyle w:val="skn-slo3txt-caps"/>
              <w:pBdr>
                <w:top w:val="none" w:sz="0" w:space="0" w:color="auto"/>
                <w:left w:val="none" w:sz="0" w:space="0" w:color="auto"/>
                <w:bottom w:val="none" w:sz="0" w:space="0" w:color="auto"/>
                <w:right w:val="none" w:sz="0" w:space="0" w:color="auto"/>
              </w:pBdr>
              <w:spacing w:before="0" w:after="0" w:line="640" w:lineRule="atLeast"/>
              <w:ind w:left="0" w:right="0"/>
              <w:rPr>
                <w:rStyle w:val="skn-slo3top-sectionright-box"/>
                <w:rFonts w:ascii="Open Sans" w:eastAsia="Open Sans" w:hAnsi="Open Sans" w:cs="Open Sans"/>
                <w:b/>
                <w:bCs/>
                <w:caps/>
                <w:color w:val="050505"/>
                <w:sz w:val="48"/>
                <w:szCs w:val="48"/>
                <w:bdr w:val="none" w:sz="0" w:space="0" w:color="auto"/>
                <w:vertAlign w:val="baseline"/>
              </w:rPr>
            </w:pPr>
            <w:r>
              <w:rPr>
                <w:rStyle w:val="span"/>
                <w:rFonts w:ascii="Open Sans" w:eastAsia="Open Sans" w:hAnsi="Open Sans" w:cs="Open Sans"/>
                <w:b/>
                <w:bCs/>
                <w:caps/>
                <w:color w:val="050505"/>
                <w:sz w:val="48"/>
                <w:szCs w:val="48"/>
              </w:rPr>
              <w:t>Rohan</w:t>
            </w:r>
            <w:r>
              <w:rPr>
                <w:rStyle w:val="skn-slo3top-sectionright-box"/>
                <w:rFonts w:ascii="Open Sans" w:eastAsia="Open Sans" w:hAnsi="Open Sans" w:cs="Open Sans"/>
                <w:b/>
                <w:bCs/>
                <w:caps/>
                <w:color w:val="050505"/>
                <w:sz w:val="48"/>
                <w:szCs w:val="48"/>
                <w:bdr w:val="none" w:sz="0" w:space="0" w:color="auto"/>
                <w:vertAlign w:val="baseline"/>
              </w:rPr>
              <w:t xml:space="preserve"> </w:t>
            </w:r>
            <w:r>
              <w:rPr>
                <w:rStyle w:val="span"/>
                <w:rFonts w:ascii="Open Sans" w:eastAsia="Open Sans" w:hAnsi="Open Sans" w:cs="Open Sans"/>
                <w:b/>
                <w:bCs/>
                <w:caps/>
                <w:color w:val="050505"/>
                <w:sz w:val="48"/>
                <w:szCs w:val="48"/>
              </w:rPr>
              <w:t>Deshmukh</w:t>
            </w:r>
          </w:p>
          <w:p>
            <w:pPr>
              <w:pStyle w:val="skn-slo3txt-caps"/>
              <w:pBdr>
                <w:top w:val="none" w:sz="0" w:space="0" w:color="auto"/>
                <w:left w:val="none" w:sz="0" w:space="0" w:color="auto"/>
                <w:bottom w:val="none" w:sz="0" w:space="0" w:color="auto"/>
                <w:right w:val="none" w:sz="0" w:space="0" w:color="auto"/>
              </w:pBdr>
              <w:spacing w:before="0" w:after="0" w:line="380" w:lineRule="atLeast"/>
              <w:ind w:left="0" w:right="0"/>
              <w:rPr>
                <w:rStyle w:val="skn-slo3top-sectionright-box"/>
                <w:rFonts w:ascii="Open Sans" w:eastAsia="Open Sans" w:hAnsi="Open Sans" w:cs="Open Sans"/>
                <w:b/>
                <w:bCs/>
                <w:caps/>
                <w:color w:val="050505"/>
                <w:sz w:val="28"/>
                <w:szCs w:val="28"/>
                <w:bdr w:val="none" w:sz="0" w:space="0" w:color="auto"/>
                <w:vertAlign w:val="baseline"/>
              </w:rPr>
            </w:pPr>
            <w:r>
              <w:rPr>
                <w:rStyle w:val="span"/>
                <w:rFonts w:ascii="Open Sans" w:eastAsia="Open Sans" w:hAnsi="Open Sans" w:cs="Open Sans"/>
                <w:b/>
                <w:bCs/>
                <w:caps/>
                <w:color w:val="050505"/>
                <w:sz w:val="28"/>
                <w:szCs w:val="28"/>
              </w:rPr>
              <w:t>Accounting Business Analyst</w:t>
            </w:r>
          </w:p>
          <w:p>
            <w:pPr>
              <w:pBdr>
                <w:top w:val="none" w:sz="0" w:space="0" w:color="auto"/>
                <w:left w:val="none" w:sz="0" w:space="0" w:color="auto"/>
                <w:bottom w:val="none" w:sz="0" w:space="0" w:color="auto"/>
                <w:right w:val="none" w:sz="0" w:space="0" w:color="auto"/>
              </w:pBdr>
              <w:spacing w:after="0" w:line="6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 </w:t>
            </w:r>
            <w:r>
              <w:rPr>
                <w:rStyle w:val="skn-slo3top-sectionright-box"/>
                <w:rFonts w:ascii="Open Sans" w:eastAsia="Open Sans" w:hAnsi="Open Sans" w:cs="Open Sans"/>
                <w:color w:val="050505"/>
                <w:sz w:val="20"/>
                <w:szCs w:val="20"/>
                <w:bdr w:val="none" w:sz="0" w:space="0" w:color="auto"/>
                <w:vertAlign w:val="baseline"/>
              </w:rPr>
              <w:drawing>
                <wp:inline>
                  <wp:extent cx="7598560" cy="13318"/>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598560" cy="13318"/>
                          </a:xfrm>
                          <a:prstGeom prst="rect">
                            <a:avLst/>
                          </a:prstGeom>
                        </pic:spPr>
                      </pic:pic>
                    </a:graphicData>
                  </a:graphic>
                </wp:inline>
              </w:drawing>
            </w:r>
          </w:p>
          <w:p>
            <w:pPr>
              <w:pBdr>
                <w:top w:val="none" w:sz="0" w:space="0" w:color="auto"/>
                <w:left w:val="none" w:sz="0" w:space="0" w:color="auto"/>
                <w:bottom w:val="none" w:sz="0" w:space="0" w:color="auto"/>
                <w:right w:val="none" w:sz="0" w:space="0" w:color="auto"/>
              </w:pBdr>
              <w:spacing w:line="40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+91</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98765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43210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top-sectionright-box"/>
                <w:rFonts w:ascii="Open Sans" w:eastAsia="Open Sans" w:hAnsi="Open Sans" w:cs="Open Sans"/>
                <w:color w:val="050505"/>
                <w:sz w:val="20"/>
                <w:szCs w:val="20"/>
                <w:bdr w:val="none" w:sz="0" w:space="0" w:color="auto"/>
                <w:vertAlign w:val="baseline"/>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8240" behindDoc="0" locked="0" layoutInCell="1" allowOverlap="1">
                  <wp:simplePos x="0" y="0"/>
                  <wp:positionH relativeFrom="character">
                    <wp:posOffset>0</wp:posOffset>
                  </wp:positionH>
                  <wp:positionV relativeFrom="line">
                    <wp:posOffset>120689</wp:posOffset>
                  </wp:positionV>
                  <wp:extent cx="64041" cy="102158"/>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rohan.deshmukh@example.com</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9264" behindDoc="0" locked="0" layoutInCell="1" allowOverlap="1">
                  <wp:simplePos x="0" y="0"/>
                  <wp:positionH relativeFrom="character">
                    <wp:posOffset>0</wp:posOffset>
                  </wp:positionH>
                  <wp:positionV relativeFrom="line">
                    <wp:posOffset>120689</wp:posOffset>
                  </wp:positionV>
                  <wp:extent cx="64041"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Maharashtra</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411001</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drawing>
                <wp:anchor simplePos="0" relativeHeight="251660288" behindDoc="0" locked="0" layoutInCell="1" allowOverlap="1">
                  <wp:simplePos x="0" y="0"/>
                  <wp:positionH relativeFrom="character">
                    <wp:posOffset>0</wp:posOffset>
                  </wp:positionH>
                  <wp:positionV relativeFrom="line">
                    <wp:posOffset>120689</wp:posOffset>
                  </wp:positionV>
                  <wp:extent cx="64041"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nth-last-child1"/>
                <w:rFonts w:ascii="Open Sans" w:eastAsia="Open Sans" w:hAnsi="Open Sans" w:cs="Open Sans"/>
                <w:color w:val="050505"/>
                <w:sz w:val="20"/>
                <w:szCs w:val="20"/>
              </w:rPr>
              <w:t> </w:t>
            </w:r>
            <w:r>
              <w:rPr>
                <w:rStyle w:val="span"/>
                <w:rFonts w:ascii="Open Sans" w:eastAsia="Open Sans" w:hAnsi="Open Sans" w:cs="Open Sans"/>
                <w:color w:val="050505"/>
                <w:sz w:val="20"/>
                <w:szCs w:val="20"/>
              </w:rPr>
              <w:t>12</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February</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1990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nth-last-child1"/>
                <w:rFonts w:ascii="Open Sans" w:eastAsia="Open Sans" w:hAnsi="Open Sans" w:cs="Open Sans"/>
                <w:color w:val="050505"/>
                <w:sz w:val="20"/>
                <w:szCs w:val="20"/>
              </w:rPr>
              <w:t xml:space="preserve"> </w:t>
            </w:r>
          </w:p>
        </w:tc>
      </w:tr>
    </w:tbl>
    <w:p>
      <w:pPr>
        <w:pStyle w:val="skn-slo3section-title"/>
        <w:pBdr>
          <w:top w:val="none" w:sz="0" w:space="0" w:color="auto"/>
          <w:left w:val="none" w:sz="0" w:space="0" w:color="auto"/>
          <w:bottom w:val="none" w:sz="0" w:space="0" w:color="auto"/>
          <w:right w:val="none" w:sz="0" w:space="0" w:color="auto"/>
        </w:pBdr>
        <w:spacing w:before="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Experienced Accounting Business Analyst with a strong background in financial analysis, SAP implementation, and compliance management. Proven ability to optimize accounting processes and improve financial reporting accuracy. Seeking to leverage expertise in accounting operations and data analysis to contribute to a dynamic team and support strategic business goals.</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Skills</w:t>
      </w:r>
    </w:p>
    <w:tbl>
      <w:tblPr>
        <w:tblW w:w="10860" w:type="dxa"/>
        <w:jc w:val="left"/>
        <w:tblInd w:w="460" w:type="dxa"/>
        <w:tblCellMar>
          <w:left w:w="108" w:type="dxa"/>
          <w:right w:w="108" w:type="dxa"/>
        </w:tblCellMar>
      </w:tblPr>
      <w:tblGrid>
        <w:gridCol w:w="5042"/>
        <w:gridCol w:w="777"/>
        <w:gridCol w:w="5041"/>
      </w:tblGrid>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1"/>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Financial Analysis &amp; Reporting</w:t>
            </w:r>
          </w:p>
        </w:tc>
        <w:tc>
          <w:tcPr>
            <w:tcW w:w="600" w:type="dxa"/>
            <w:tcMar>
              <w:bottom w:w="100" w:type="dxa"/>
            </w:tcMar>
          </w:tcPr>
          <w:p/>
        </w:tc>
        <w:tc>
          <w:tcPr>
            <w:tcW w:w="5130" w:type="dxa"/>
            <w:tcMar>
              <w:left w:w="0" w:type="dxa"/>
            </w:tcMar>
          </w:tcPr>
          <w:p>
            <w:pPr>
              <w:pStyle w:val="p"/>
              <w:numPr>
                <w:ilvl w:val="0"/>
                <w:numId w:val="2"/>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Accounting Operations Management</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3"/>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Requirement Gathering &amp; Documentation</w:t>
            </w:r>
          </w:p>
        </w:tc>
        <w:tc>
          <w:tcPr>
            <w:tcW w:w="600" w:type="dxa"/>
            <w:tcMar>
              <w:bottom w:w="100" w:type="dxa"/>
            </w:tcMar>
          </w:tcPr>
          <w:p/>
        </w:tc>
        <w:tc>
          <w:tcPr>
            <w:tcW w:w="5130" w:type="dxa"/>
            <w:tcMar>
              <w:left w:w="0" w:type="dxa"/>
            </w:tcMar>
          </w:tcPr>
          <w:p>
            <w:pPr>
              <w:pStyle w:val="p"/>
              <w:numPr>
                <w:ilvl w:val="0"/>
                <w:numId w:val="4"/>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MIS &amp; KPI Reporting</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SAP / Tally ERP Implementation</w:t>
            </w:r>
          </w:p>
        </w:tc>
        <w:tc>
          <w:tcPr>
            <w:tcW w:w="600" w:type="dxa"/>
            <w:tcMar>
              <w:bottom w:w="100" w:type="dxa"/>
            </w:tcMar>
          </w:tcPr>
          <w:p/>
        </w:tc>
        <w:tc>
          <w:tcPr>
            <w:tcW w:w="5130" w:type="dxa"/>
            <w:tcMar>
              <w:left w:w="0" w:type="dxa"/>
            </w:tcMar>
          </w:tcPr>
          <w:p>
            <w:pPr>
              <w:pStyle w:val="p"/>
              <w:numPr>
                <w:ilvl w:val="0"/>
                <w:numId w:val="6"/>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Budgeting &amp; Forecasting</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7"/>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Process Optimization</w:t>
            </w:r>
          </w:p>
        </w:tc>
        <w:tc>
          <w:tcPr>
            <w:tcW w:w="600" w:type="dxa"/>
            <w:tcMar>
              <w:bottom w:w="100" w:type="dxa"/>
            </w:tcMar>
          </w:tcPr>
          <w:p/>
        </w:tc>
        <w:tc>
          <w:tcPr>
            <w:tcW w:w="5130" w:type="dxa"/>
            <w:tcMar>
              <w:left w:w="0" w:type="dxa"/>
            </w:tcMar>
          </w:tcPr>
          <w:p>
            <w:pPr>
              <w:pStyle w:val="p"/>
              <w:numPr>
                <w:ilvl w:val="0"/>
                <w:numId w:val="8"/>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Risk &amp; Compliance Management</w:t>
            </w:r>
          </w:p>
        </w:tc>
      </w:tr>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9"/>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Data Analysis &amp; SQL</w:t>
            </w:r>
          </w:p>
        </w:tc>
        <w:tc>
          <w:tcPr>
            <w:tcW w:w="600" w:type="dxa"/>
            <w:tcMar>
              <w:bottom w:w="0" w:type="dxa"/>
            </w:tcMar>
          </w:tcPr>
          <w:p/>
        </w:tc>
        <w:tc>
          <w:tcPr>
            <w:tcW w:w="5130" w:type="dxa"/>
            <w:tcMar>
              <w:left w:w="0" w:type="dxa"/>
              <w:bottom w:w="0" w:type="dxa"/>
            </w:tcMar>
          </w:tcPr>
          <w:p>
            <w:pPr>
              <w:pStyle w:val="p"/>
              <w:numPr>
                <w:ilvl w:val="0"/>
                <w:numId w:val="10"/>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Stakeholder Communication</w:t>
            </w: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Experience</w:t>
      </w: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timeline-svg"/>
                <w:rFonts w:ascii="Open Sans" w:eastAsia="Open Sans" w:hAnsi="Open Sans" w:cs="Open Sans"/>
                <w:color w:val="050505"/>
                <w:sz w:val="20"/>
                <w:szCs w:val="20"/>
                <w:bdr w:val="none" w:sz="0" w:space="0" w:color="auto"/>
                <w:vertAlign w:val="baseline"/>
              </w:rPr>
            </w:pPr>
            <w:r>
              <w:rPr>
                <w:rStyle w:val="skn-slo3sectionexpr-secparlrColmntimeline-svg"/>
                <w:rFonts w:ascii="Open Sans" w:eastAsia="Open Sans" w:hAnsi="Open Sans" w:cs="Open Sans"/>
                <w:color w:val="050505"/>
                <w:sz w:val="20"/>
                <w:szCs w:val="20"/>
                <w:bdr w:val="none" w:sz="0" w:space="0" w:color="auto"/>
                <w:vertAlign w:val="baseline"/>
              </w:rPr>
              <w:drawing>
                <wp:anchor simplePos="0" relativeHeight="251661312" behindDoc="0" locked="0" layoutInCell="1" allowOverlap="1">
                  <wp:simplePos x="0" y="0"/>
                  <wp:positionH relativeFrom="column">
                    <wp:posOffset>-50800</wp:posOffset>
                  </wp:positionH>
                  <wp:positionV relativeFrom="paragraph">
                    <wp:posOffset>-25400</wp:posOffset>
                  </wp:positionV>
                  <wp:extent cx="89410" cy="19099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80" w:lineRule="atLeas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Accounting Business Analyst</w:t>
            </w:r>
            <w:r>
              <w:rPr>
                <w:rStyle w:val="spacebeforecomp"/>
                <w:color w:val="050505"/>
              </w:rPr>
              <w:t>  </w:t>
            </w:r>
            <w:r>
              <w:rPr>
                <w:rStyle w:val="skn-slo3color-support"/>
                <w:rFonts w:ascii="Open Sans" w:eastAsia="Open Sans" w:hAnsi="Open Sans" w:cs="Open Sans"/>
                <w:sz w:val="20"/>
                <w:szCs w:val="20"/>
              </w:rPr>
              <w:t>ICICI Bank Ltd.</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Mumbai</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March 2020</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Present</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1"/>
                    </w:numPr>
                    <w:tabs>
                      <w:tab w:val="left" w:pos="400"/>
                    </w:tabs>
                    <w:spacing w:before="0"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Analyzed accounting processes and identified gaps to improve financial reporting accuracy by 20%.</w:t>
                  </w:r>
                </w:p>
              </w:tc>
              <w:tc>
                <w:tcPr>
                  <w:tcW w:w="600" w:type="dxa"/>
                  <w:tcMar>
                    <w:bottom w:w="100" w:type="dxa"/>
                  </w:tcMar>
                </w:tcPr>
                <w:p/>
              </w:tc>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Collaborated with finance and IT teams for SAP implementation and system upgrades.</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Developed MIS dashboards for senior management to track KPIs and operational performance.</w:t>
                  </w:r>
                </w:p>
              </w:tc>
              <w:tc>
                <w:tcPr>
                  <w:tcW w:w="600" w:type="dxa"/>
                  <w:tcMar>
                    <w:bottom w:w="100" w:type="dxa"/>
                  </w:tcMar>
                </w:tcPr>
                <w:p/>
              </w:tc>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Conducted audits to ensure compliance with internal policies and regulatory guidelines.</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Assisted in budget planning, variance analysis, and forecasting for multiple departments.</w:t>
                  </w:r>
                </w:p>
              </w:tc>
              <w:tc>
                <w:tcPr>
                  <w:tcW w:w="600" w:type="dxa"/>
                  <w:tcMar>
                    <w:bottom w:w="0" w:type="dxa"/>
                  </w:tcMar>
                </w:tcPr>
                <w:p/>
              </w:tc>
              <w:tc>
                <w:tcPr>
                  <w:tcW w:w="5115" w:type="dxa"/>
                  <w:tcMar>
                    <w:left w:w="0" w:type="dxa"/>
                    <w:bottom w:w="0" w:type="dxa"/>
                  </w:tcMar>
                </w:tcPr>
                <w:p>
                  <w:pPr>
                    <w:pStyle w:val="skn-slo3ullinth-last-child1Paragraph"/>
                    <w:numPr>
                      <w:ilvl w:val="0"/>
                      <w:numId w:val="11"/>
                    </w:numPr>
                    <w:tabs>
                      <w:tab w:val="left" w:pos="400"/>
                    </w:tabs>
                    <w:spacing w:after="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Trained junior analysts on accounting workflows, reporting, and system usage.</w:t>
                  </w: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timeline-svg"/>
                <w:rFonts w:ascii="Open Sans" w:eastAsia="Open Sans" w:hAnsi="Open Sans" w:cs="Open Sans"/>
                <w:color w:val="050505"/>
                <w:sz w:val="20"/>
                <w:szCs w:val="20"/>
                <w:bdr w:val="none" w:sz="0" w:space="0" w:color="auto"/>
                <w:vertAlign w:val="baseline"/>
              </w:rPr>
            </w:pPr>
            <w:r>
              <w:rPr>
                <w:rStyle w:val="skn-slo3sectionexpr-secparlrColmntimeline-svg"/>
                <w:rFonts w:ascii="Open Sans" w:eastAsia="Open Sans" w:hAnsi="Open Sans" w:cs="Open Sans"/>
                <w:color w:val="050505"/>
                <w:sz w:val="20"/>
                <w:szCs w:val="20"/>
                <w:bdr w:val="none" w:sz="0" w:space="0" w:color="auto"/>
                <w:vertAlign w:val="baseline"/>
              </w:rPr>
              <w:drawing>
                <wp:anchor simplePos="0" relativeHeight="251662336" behindDoc="0" locked="0" layoutInCell="1" allowOverlap="1">
                  <wp:simplePos x="0" y="0"/>
                  <wp:positionH relativeFrom="column">
                    <wp:posOffset>-50800</wp:posOffset>
                  </wp:positionH>
                  <wp:positionV relativeFrom="paragraph">
                    <wp:posOffset>25400</wp:posOffset>
                  </wp:positionV>
                  <wp:extent cx="89410" cy="12754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80" w:lineRule="atLeas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Business Analyst – Accounting Operations</w:t>
            </w:r>
            <w:r>
              <w:rPr>
                <w:rStyle w:val="spacebeforecomp"/>
                <w:color w:val="050505"/>
              </w:rPr>
              <w:t>  </w:t>
            </w:r>
            <w:r>
              <w:rPr>
                <w:rStyle w:val="skn-slo3color-support"/>
                <w:rFonts w:ascii="Open Sans" w:eastAsia="Open Sans" w:hAnsi="Open Sans" w:cs="Open Sans"/>
                <w:sz w:val="20"/>
                <w:szCs w:val="20"/>
              </w:rPr>
              <w:t>HDFC Ltd.</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Pune</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January 2016</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February 2020</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2"/>
                    </w:numPr>
                    <w:tabs>
                      <w:tab w:val="left" w:pos="400"/>
                    </w:tabs>
                    <w:spacing w:before="0"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Gathered business requirements and documented workflows for accounting software enhancements.</w:t>
                  </w:r>
                </w:p>
              </w:tc>
              <w:tc>
                <w:tcPr>
                  <w:tcW w:w="600" w:type="dxa"/>
                  <w:tcMar>
                    <w:bottom w:w="100" w:type="dxa"/>
                  </w:tcMar>
                </w:tcPr>
                <w:p/>
              </w:tc>
              <w:tc>
                <w:tcPr>
                  <w:tcW w:w="5115"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Performed reconciliation and analysis of accounts payable and receivable data regularly.</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Supported month-end and year-end closing processes for accurate financial reporting.</w:t>
                  </w:r>
                </w:p>
              </w:tc>
              <w:tc>
                <w:tcPr>
                  <w:tcW w:w="600" w:type="dxa"/>
                  <w:tcMar>
                    <w:bottom w:w="100" w:type="dxa"/>
                  </w:tcMar>
                </w:tcPr>
                <w:p/>
              </w:tc>
              <w:tc>
                <w:tcPr>
                  <w:tcW w:w="5115"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Collaborated with cross-functional teams to resolve discrepancies and operational bottlenecks.</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Created reports and dashboards to provide actionable insights for management.</w:t>
                  </w:r>
                </w:p>
              </w:tc>
              <w:tc>
                <w:tcPr>
                  <w:tcW w:w="600" w:type="dxa"/>
                  <w:tcMar>
                    <w:bottom w:w="0" w:type="dxa"/>
                  </w:tcMar>
                </w:tcPr>
                <w:p/>
              </w:tc>
              <w:tc>
                <w:tcPr>
                  <w:tcW w:w="5115" w:type="dxa"/>
                  <w:tcMar>
                    <w:left w:w="0" w:type="dxa"/>
                    <w:bottom w:w="0" w:type="dxa"/>
                  </w:tcMar>
                </w:tcPr>
                <w:p>
                  <w:pPr>
                    <w:pStyle w:val="skn-slo3ullinth-last-child1Paragraph"/>
                    <w:numPr>
                      <w:ilvl w:val="0"/>
                      <w:numId w:val="12"/>
                    </w:numPr>
                    <w:tabs>
                      <w:tab w:val="left" w:pos="400"/>
                    </w:tabs>
                    <w:spacing w:after="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Assisted in internal audits and compliance reviews to meet regulatory standards.</w:t>
                  </w: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paragraphnth-last-child1timeline-svg"/>
                <w:rFonts w:ascii="Open Sans" w:eastAsia="Open Sans" w:hAnsi="Open Sans" w:cs="Open Sans"/>
                <w:color w:val="050505"/>
                <w:sz w:val="20"/>
                <w:szCs w:val="20"/>
                <w:bdr w:val="none" w:sz="0" w:space="0" w:color="auto"/>
                <w:vertAlign w:val="baseline"/>
              </w:rPr>
            </w:pPr>
            <w:r>
              <w:rPr>
                <w:rStyle w:val="skn-slo3sectionexpr-secparlrColmnparagraphnth-last-child1timeline-svg"/>
                <w:rFonts w:ascii="Open Sans" w:eastAsia="Open Sans" w:hAnsi="Open Sans" w:cs="Open Sans"/>
                <w:color w:val="050505"/>
                <w:sz w:val="20"/>
                <w:szCs w:val="20"/>
                <w:bdr w:val="none" w:sz="0" w:space="0" w:color="auto"/>
                <w:vertAlign w:val="baseline"/>
              </w:rPr>
              <w:drawing>
                <wp:anchor simplePos="0" relativeHeight="251663360" behindDoc="0" locked="0" layoutInCell="1" allowOverlap="1">
                  <wp:simplePos x="0" y="0"/>
                  <wp:positionH relativeFrom="column">
                    <wp:posOffset>-50800</wp:posOffset>
                  </wp:positionH>
                  <wp:positionV relativeFrom="paragraph">
                    <wp:posOffset>25400</wp:posOffset>
                  </wp:positionV>
                  <wp:extent cx="89410" cy="127540"/>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p>
            <w:pPr>
              <w:pStyle w:val="skn-slo3disp-block"/>
              <w:spacing w:before="0" w:after="0" w:line="280" w:lineRule="atLeas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Junior Analyst (Internship)</w:t>
            </w:r>
            <w:r>
              <w:rPr>
                <w:rStyle w:val="spacebeforecomp"/>
                <w:color w:val="050505"/>
              </w:rPr>
              <w:t>  </w:t>
            </w:r>
            <w:r>
              <w:rPr>
                <w:rStyle w:val="skn-slo3color-support"/>
                <w:rFonts w:ascii="Open Sans" w:eastAsia="Open Sans" w:hAnsi="Open Sans" w:cs="Open Sans"/>
                <w:sz w:val="20"/>
                <w:szCs w:val="20"/>
              </w:rPr>
              <w:t>Axis Bank</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Pune</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June 2015</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December 2015</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 </w:t>
            </w:r>
          </w:p>
          <w:tbl>
            <w:tblPr>
              <w:tblW w:w="10840" w:type="dxa"/>
              <w:jc w:val="left"/>
              <w:tblInd w:w="100" w:type="dxa"/>
              <w:tblLayout w:type="fixed"/>
              <w:tblCellMar>
                <w:left w:w="108" w:type="dxa"/>
                <w:right w:w="108" w:type="dxa"/>
              </w:tblCellMar>
            </w:tblPr>
            <w:tblGrid>
              <w:gridCol w:w="5120"/>
              <w:gridCol w:w="600"/>
              <w:gridCol w:w="5120"/>
            </w:tblGrid>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13"/>
                    </w:numPr>
                    <w:tabs>
                      <w:tab w:val="left" w:pos="400"/>
                    </w:tabs>
                    <w:spacing w:before="0"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Assisted in financial data analysis and preparation of monthly account reports.</w:t>
                  </w:r>
                </w:p>
              </w:tc>
              <w:tc>
                <w:tcPr>
                  <w:tcW w:w="600" w:type="dxa"/>
                  <w:tcMar>
                    <w:bottom w:w="100" w:type="dxa"/>
                  </w:tcMar>
                </w:tcPr>
                <w:p/>
              </w:tc>
              <w:tc>
                <w:tcPr>
                  <w:tcW w:w="5120" w:type="dxa"/>
                  <w:tcMar>
                    <w:left w:w="0" w:type="dxa"/>
                  </w:tcMar>
                </w:tcPr>
                <w:p>
                  <w:pPr>
                    <w:pStyle w:val="skn-slo3ulliParagraph"/>
                    <w:numPr>
                      <w:ilvl w:val="0"/>
                      <w:numId w:val="13"/>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Documented accounting processes and identified potential areas for process improvement.</w:t>
                  </w:r>
                </w:p>
              </w:tc>
            </w:tr>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13"/>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Supported senior analysts in implementing Tally ERP modules for operational efficiency.</w:t>
                  </w:r>
                </w:p>
              </w:tc>
              <w:tc>
                <w:tcPr>
                  <w:tcW w:w="600" w:type="dxa"/>
                  <w:tcMar>
                    <w:bottom w:w="100" w:type="dxa"/>
                  </w:tcMar>
                </w:tcPr>
                <w:p/>
              </w:tc>
              <w:tc>
                <w:tcPr>
                  <w:tcW w:w="5120" w:type="dxa"/>
                  <w:tcMar>
                    <w:left w:w="0" w:type="dxa"/>
                  </w:tcMar>
                </w:tcPr>
                <w:p>
                  <w:pPr>
                    <w:pStyle w:val="skn-slo3ulliParagraph"/>
                    <w:numPr>
                      <w:ilvl w:val="0"/>
                      <w:numId w:val="13"/>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Conducted reconciliation of bank statements and financial records.</w:t>
                  </w:r>
                </w:p>
              </w:tc>
            </w:tr>
            <w:tr>
              <w:tblPrEx>
                <w:tblW w:w="10840" w:type="dxa"/>
                <w:jc w:val="left"/>
                <w:tblInd w:w="100" w:type="dxa"/>
                <w:tblLayout w:type="fixed"/>
                <w:tblCellMar>
                  <w:left w:w="108" w:type="dxa"/>
                  <w:right w:w="108" w:type="dxa"/>
                </w:tblCellMar>
              </w:tblPrEx>
              <w:trPr>
                <w:jc w:val="left"/>
              </w:trPr>
              <w:tc>
                <w:tcPr>
                  <w:tcW w:w="5120" w:type="dxa"/>
                  <w:tcMar>
                    <w:left w:w="0" w:type="dxa"/>
                    <w:bottom w:w="0" w:type="dxa"/>
                  </w:tcMar>
                </w:tcPr>
                <w:p>
                  <w:pPr>
                    <w:pStyle w:val="skn-slo3ulliParagraph"/>
                    <w:numPr>
                      <w:ilvl w:val="0"/>
                      <w:numId w:val="13"/>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Learned business analysis techniques and financial reporting standards.</w:t>
                  </w:r>
                </w:p>
              </w:tc>
              <w:tc>
                <w:tcPr>
                  <w:tcW w:w="600" w:type="dxa"/>
                  <w:tcMar>
                    <w:bottom w:w="0" w:type="dxa"/>
                  </w:tcMar>
                </w:tcPr>
                <w:p/>
              </w:tc>
              <w:tc>
                <w:tcPr>
                  <w:tcW w:w="5120" w:type="dxa"/>
                  <w:tcMar>
                    <w:left w:w="0" w:type="dxa"/>
                    <w:bottom w:w="0" w:type="dxa"/>
                  </w:tcMar>
                </w:tcPr>
                <w:p>
                  <w:pPr>
                    <w:pStyle w:val="skn-slo3ullinth-last-child1Paragraph"/>
                    <w:numPr>
                      <w:ilvl w:val="0"/>
                      <w:numId w:val="13"/>
                    </w:numPr>
                    <w:tabs>
                      <w:tab w:val="left" w:pos="400"/>
                    </w:tabs>
                    <w:spacing w:after="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Participated in internal review meetings and contributed to process standardization.</w:t>
                  </w:r>
                </w:p>
              </w:tc>
            </w:tr>
          </w:tbl>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Education</w:t>
      </w: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timeline-svg"/>
                <w:rFonts w:ascii="Open Sans" w:eastAsia="Open Sans" w:hAnsi="Open Sans" w:cs="Open Sans"/>
                <w:color w:val="050505"/>
                <w:sz w:val="20"/>
                <w:szCs w:val="20"/>
                <w:bdr w:val="none" w:sz="0" w:space="0" w:color="auto"/>
                <w:vertAlign w:val="baseline"/>
              </w:rPr>
            </w:pPr>
            <w:r>
              <w:rPr>
                <w:rStyle w:val="skn-slo3sectionedu-secparlrColmntimeline-svg"/>
                <w:rFonts w:ascii="Open Sans" w:eastAsia="Open Sans" w:hAnsi="Open Sans" w:cs="Open Sans"/>
                <w:color w:val="050505"/>
                <w:sz w:val="20"/>
                <w:szCs w:val="20"/>
                <w:bdr w:val="none" w:sz="0" w:space="0" w:color="auto"/>
                <w:vertAlign w:val="baseline"/>
              </w:rPr>
              <w:drawing>
                <wp:anchor simplePos="0" relativeHeight="251664384" behindDoc="0" locked="0" layoutInCell="1" allowOverlap="1">
                  <wp:simplePos x="0" y="0"/>
                  <wp:positionH relativeFrom="column">
                    <wp:posOffset>-50800</wp:posOffset>
                  </wp:positionH>
                  <wp:positionV relativeFrom="paragraph">
                    <wp:posOffset>-25400</wp:posOffset>
                  </wp:positionV>
                  <wp:extent cx="89410" cy="190998"/>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Bachelor of Commerce (B.Com)</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in</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Accounting &amp; Finance</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Savitribai Phule Pune University</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May 2011</w:t>
                  </w:r>
                </w:p>
              </w:tc>
            </w:tr>
          </w:tbl>
          <w:p>
            <w:pPr>
              <w:rPr>
                <w:rStyle w:val="skn-slo3sectionedu-secparlrColmnsinglecolumn"/>
                <w:rFonts w:ascii="Open Sans" w:eastAsia="Open Sans" w:hAnsi="Open Sans" w:cs="Open Sans"/>
                <w:color w:val="050505"/>
                <w:sz w:val="20"/>
                <w:szCs w:val="20"/>
                <w:bdr w:val="none" w:sz="0" w:space="0" w:color="auto"/>
                <w:vertAlign w:val="baseline"/>
              </w:rPr>
            </w:pPr>
          </w:p>
        </w:tc>
      </w:tr>
    </w:tbl>
    <w:p>
      <w:pPr>
        <w:rPr>
          <w:vanish/>
        </w:rPr>
      </w:pP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timeline-svg"/>
                <w:rFonts w:ascii="Open Sans" w:eastAsia="Open Sans" w:hAnsi="Open Sans" w:cs="Open Sans"/>
                <w:color w:val="050505"/>
                <w:sz w:val="20"/>
                <w:szCs w:val="20"/>
                <w:bdr w:val="none" w:sz="0" w:space="0" w:color="auto"/>
                <w:vertAlign w:val="baseline"/>
              </w:rPr>
            </w:pPr>
            <w:r>
              <w:rPr>
                <w:rStyle w:val="skn-slo3sectionedu-secparlrColmntimeline-svg"/>
                <w:rFonts w:ascii="Open Sans" w:eastAsia="Open Sans" w:hAnsi="Open Sans" w:cs="Open Sans"/>
                <w:color w:val="050505"/>
                <w:sz w:val="20"/>
                <w:szCs w:val="20"/>
                <w:bdr w:val="none" w:sz="0" w:space="0" w:color="auto"/>
                <w:vertAlign w:val="baseline"/>
              </w:rPr>
              <w:drawing>
                <wp:anchor simplePos="0" relativeHeight="251665408" behindDoc="0" locked="0" layoutInCell="1" allowOverlap="1">
                  <wp:simplePos x="0" y="0"/>
                  <wp:positionH relativeFrom="column">
                    <wp:posOffset>-50800</wp:posOffset>
                  </wp:positionH>
                  <wp:positionV relativeFrom="paragraph">
                    <wp:posOffset>25400</wp:posOffset>
                  </wp:positionV>
                  <wp:extent cx="89410" cy="12754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Higher Secondary Certificate (12th)</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in</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Commerce</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St. Mira's High School</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March 2008</w:t>
                  </w:r>
                </w:p>
              </w:tc>
            </w:tr>
          </w:tbl>
          <w:p>
            <w:pPr>
              <w:rPr>
                <w:rStyle w:val="skn-slo3sectionedu-secparlrColmnsinglecolumn"/>
                <w:rFonts w:ascii="Open Sans" w:eastAsia="Open Sans" w:hAnsi="Open Sans" w:cs="Open Sans"/>
                <w:color w:val="050505"/>
                <w:sz w:val="20"/>
                <w:szCs w:val="20"/>
                <w:bdr w:val="none" w:sz="0" w:space="0" w:color="auto"/>
                <w:vertAlign w:val="baseline"/>
              </w:rPr>
            </w:pPr>
          </w:p>
        </w:tc>
      </w:tr>
    </w:tbl>
    <w:p>
      <w:pPr>
        <w:rPr>
          <w:vanish/>
        </w:rPr>
      </w:pP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paragraphnth-last-child1timeline-svg"/>
                <w:rFonts w:ascii="Open Sans" w:eastAsia="Open Sans" w:hAnsi="Open Sans" w:cs="Open Sans"/>
                <w:color w:val="050505"/>
                <w:sz w:val="20"/>
                <w:szCs w:val="20"/>
                <w:bdr w:val="none" w:sz="0" w:space="0" w:color="auto"/>
                <w:vertAlign w:val="baseline"/>
              </w:rPr>
            </w:pPr>
            <w:r>
              <w:rPr>
                <w:rStyle w:val="skn-slo3sectionedu-secparlrColmnparagraphnth-last-child1timeline-svg"/>
                <w:rFonts w:ascii="Open Sans" w:eastAsia="Open Sans" w:hAnsi="Open Sans" w:cs="Open Sans"/>
                <w:color w:val="050505"/>
                <w:sz w:val="20"/>
                <w:szCs w:val="20"/>
                <w:bdr w:val="none" w:sz="0" w:space="0" w:color="auto"/>
                <w:vertAlign w:val="baseline"/>
              </w:rPr>
              <w:drawing>
                <wp:anchor simplePos="0" relativeHeight="251666432" behindDoc="0" locked="0" layoutInCell="1" allowOverlap="1">
                  <wp:simplePos x="0" y="0"/>
                  <wp:positionH relativeFrom="column">
                    <wp:posOffset>-50800</wp:posOffset>
                  </wp:positionH>
                  <wp:positionV relativeFrom="paragraph">
                    <wp:posOffset>25400</wp:posOffset>
                  </wp:positionV>
                  <wp:extent cx="89410" cy="127540"/>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Secondary School Certificate (10th)</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St. Mira's High School</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March 2006</w:t>
                  </w:r>
                </w:p>
              </w:tc>
            </w:tr>
          </w:tbl>
          <w:p>
            <w:pPr>
              <w:rPr>
                <w:rStyle w:val="skn-slo3sectionedu-secparlrColmnparagraphnth-last-child1singlecolumn"/>
                <w:rFonts w:ascii="Open Sans" w:eastAsia="Open Sans" w:hAnsi="Open Sans" w:cs="Open Sans"/>
                <w:color w:val="050505"/>
                <w:sz w:val="20"/>
                <w:szCs w:val="20"/>
                <w:bdr w:val="none" w:sz="0" w:space="0" w:color="auto"/>
                <w:vertAlign w:val="baseline"/>
              </w:rPr>
            </w:pP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Certifications</w:t>
      </w:r>
    </w:p>
    <w:tbl>
      <w:tblPr>
        <w:tblW w:w="10860" w:type="dxa"/>
        <w:jc w:val="left"/>
        <w:tblInd w:w="460" w:type="dxa"/>
        <w:tblCellMar>
          <w:left w:w="108" w:type="dxa"/>
          <w:right w:w="108" w:type="dxa"/>
        </w:tblCellMar>
      </w:tblPr>
      <w:tblGrid>
        <w:gridCol w:w="5035"/>
        <w:gridCol w:w="781"/>
        <w:gridCol w:w="5044"/>
      </w:tblGrid>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14"/>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Certified Accounting Technician (CAT), ICAI, 2018</w:t>
            </w:r>
          </w:p>
        </w:tc>
        <w:tc>
          <w:tcPr>
            <w:tcW w:w="600" w:type="dxa"/>
            <w:tcMar>
              <w:bottom w:w="0" w:type="dxa"/>
            </w:tcMar>
          </w:tcPr>
          <w:p/>
        </w:tc>
        <w:tc>
          <w:tcPr>
            <w:tcW w:w="5130" w:type="dxa"/>
            <w:tcMar>
              <w:left w:w="0" w:type="dxa"/>
              <w:bottom w:w="0" w:type="dxa"/>
            </w:tcMar>
          </w:tcPr>
          <w:p>
            <w:pPr>
              <w:pStyle w:val="p"/>
              <w:numPr>
                <w:ilvl w:val="0"/>
                <w:numId w:val="1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Business Analysis Professional Certification, IIBA, 2019</w:t>
            </w: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Projects</w:t>
      </w:r>
    </w:p>
    <w:p>
      <w:pPr>
        <w:pStyle w:val="skn-slo3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Accounting Process Optimization, Streamlined reconciliation and reporting workflows in SAP, reducing month-end closing time by 15%. MIS Dashboard Implementation, Developed real-time dashboards for accounts tracking, improving decision-making and reporting accuracy.</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Accomplishments</w:t>
      </w:r>
    </w:p>
    <w:p>
      <w:pPr>
        <w:pStyle w:val="skn-slo3ulliParagraph"/>
        <w:numPr>
          <w:ilvl w:val="0"/>
          <w:numId w:val="16"/>
        </w:numPr>
        <w:pBdr>
          <w:top w:val="none" w:sz="0" w:space="0" w:color="auto"/>
          <w:left w:val="none" w:sz="0" w:space="0" w:color="auto"/>
          <w:bottom w:val="none" w:sz="0" w:space="0" w:color="auto"/>
          <w:right w:val="none" w:sz="0" w:space="0" w:color="auto"/>
        </w:pBdr>
        <w:spacing w:before="0" w:after="10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Reduced financial reconciliation errors by 20% through process improvements.</w:t>
      </w:r>
    </w:p>
    <w:p>
      <w:pPr>
        <w:pStyle w:val="skn-slo3ulliParagraph"/>
        <w:numPr>
          <w:ilvl w:val="0"/>
          <w:numId w:val="16"/>
        </w:numPr>
        <w:spacing w:after="10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Successfully led SAP accounting module implementation across multiple departments.</w:t>
      </w:r>
    </w:p>
    <w:p>
      <w:pPr>
        <w:pStyle w:val="skn-slo3ullinth-last-child1Paragraph"/>
        <w:numPr>
          <w:ilvl w:val="0"/>
          <w:numId w:val="16"/>
        </w:numPr>
        <w:spacing w:after="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Recognized as 'Employee of the Year' for exceptional contribution to financial operations.</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References</w:t>
      </w:r>
    </w:p>
    <w:tbl>
      <w:tblPr>
        <w:tblStyle w:val="skn-slo3sectionreference-secrefparatable"/>
        <w:tblW w:w="0" w:type="auto"/>
        <w:tblCellSpacing w:w="0" w:type="dxa"/>
        <w:tblInd w:w="0" w:type="dxa"/>
        <w:tblLayout w:type="fixed"/>
        <w:tblCellMar>
          <w:top w:w="0" w:type="dxa"/>
          <w:left w:w="0" w:type="dxa"/>
          <w:bottom w:w="0" w:type="dxa"/>
          <w:right w:w="0" w:type="dxa"/>
        </w:tblCellMar>
        <w:tblLook w:val="05E0"/>
      </w:tblPr>
      <w:tblGrid>
        <w:gridCol w:w="5360"/>
        <w:gridCol w:w="600"/>
        <w:gridCol w:w="536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r>
              <w:rPr>
                <w:color w:val="FFFFFF"/>
                <w:sz w:val="2"/>
              </w:rPr>
              <w:t>.</w:t>
            </w:r>
          </w:p>
        </w:tc>
        <w:tc>
          <w:tcPr>
            <w:tcW w:w="600" w:type="dxa"/>
            <w:tcMar>
              <w:top w:w="0" w:type="dxa"/>
              <w:left w:w="0" w:type="dxa"/>
              <w:bottom w:w="0" w:type="dxa"/>
              <w:right w:w="0" w:type="dxa"/>
            </w:tcMar>
            <w:vAlign w:val="top"/>
            <w:hideMark/>
          </w:tcPr>
          <w:p/>
        </w:tc>
        <w:tc>
          <w:tcPr>
            <w:tcW w:w="5360" w:type="dxa"/>
            <w:tcMar>
              <w:top w:w="0" w:type="dxa"/>
              <w:left w:w="0" w:type="dxa"/>
              <w:bottom w:w="0" w:type="dxa"/>
              <w:right w:w="0" w:type="dxa"/>
            </w:tcMar>
            <w:vAlign w:val="top"/>
            <w:hideMark/>
          </w:tcPr>
          <w:p/>
        </w:tc>
      </w:tr>
    </w:tbl>
    <w:p>
      <w:pPr>
        <w:rPr>
          <w:rFonts w:ascii="Open Sans" w:eastAsia="Open Sans" w:hAnsi="Open Sans" w:cs="Open Sans"/>
          <w:b/>
          <w:bCs/>
          <w:caps/>
          <w:bdr w:val="none" w:sz="0" w:space="0" w:color="auto"/>
          <w:vertAlign w:val="baseline"/>
        </w:rPr>
      </w:pP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0B472E1F-9BBF-4582-ADE3-1E9B36DBFBF9}"/>
    <w:embedBold r:id="rId2" w:fontKey="{4D932A66-AAEC-47EE-96E0-285D63F5160A}"/>
    <w:embedItalic r:id="rId3" w:fontKey="{56B4751C-870A-4629-B235-9DB93469D599}"/>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3pagesize">
    <w:name w:val="skn-slo3_pagesize"/>
    <w:basedOn w:val="Normal"/>
  </w:style>
  <w:style w:type="character" w:customStyle="1" w:styleId="skn-slo3top-sectionleft-box">
    <w:name w:val="skn-slo3_top-section_left-box"/>
    <w:basedOn w:val="DefaultParagraphFont"/>
  </w:style>
  <w:style w:type="character" w:customStyle="1" w:styleId="skn-slo3top-sectionright-box">
    <w:name w:val="skn-slo3_top-section_right-box"/>
    <w:basedOn w:val="DefaultParagraphFont"/>
  </w:style>
  <w:style w:type="paragraph" w:customStyle="1" w:styleId="skn-slo3firstsection">
    <w:name w:val="skn-slo3_firstsection"/>
    <w:basedOn w:val="Normal"/>
  </w:style>
  <w:style w:type="paragraph" w:customStyle="1" w:styleId="skn-slo3firstparagraph">
    <w:name w:val="skn-slo3_firstparagraph"/>
    <w:basedOn w:val="Normal"/>
  </w:style>
  <w:style w:type="paragraph" w:customStyle="1" w:styleId="skn-slo3txt-caps">
    <w:name w:val="skn-slo3_txt-caps"/>
    <w:basedOn w:val="Normal"/>
    <w:rPr>
      <w:caps/>
    </w:rPr>
  </w:style>
  <w:style w:type="character" w:customStyle="1" w:styleId="span">
    <w:name w:val="span"/>
    <w:basedOn w:val="DefaultParagraphFont"/>
    <w:rPr>
      <w:bdr w:val="none" w:sz="0" w:space="0" w:color="auto"/>
      <w:vertAlign w:val="baseline"/>
    </w:rPr>
  </w:style>
  <w:style w:type="character" w:customStyle="1" w:styleId="skn-slo3txt-capsCharacter">
    <w:name w:val="skn-slo3_txt-caps Character"/>
    <w:basedOn w:val="DefaultParagraphFont"/>
    <w:rPr>
      <w:caps/>
    </w:rPr>
  </w:style>
  <w:style w:type="paragraph" w:customStyle="1" w:styleId="skn-slo3cntc-sec">
    <w:name w:val="skn-slo3_cntc-sec"/>
    <w:basedOn w:val="Normal"/>
  </w:style>
  <w:style w:type="paragraph" w:customStyle="1" w:styleId="skn-slo3right-boxcntc-secparagraph">
    <w:name w:val="skn-slo3_right-box_cntc-sec_paragraph"/>
    <w:basedOn w:val="Normal"/>
    <w:pPr>
      <w:spacing w:line="400" w:lineRule="atLeast"/>
    </w:pPr>
  </w:style>
  <w:style w:type="paragraph" w:customStyle="1" w:styleId="skn-slo3address">
    <w:name w:val="skn-slo3_address"/>
    <w:basedOn w:val="Normal"/>
  </w:style>
  <w:style w:type="character" w:customStyle="1" w:styleId="skn-slo3ulli">
    <w:name w:val="skn-slo3_ul_li"/>
    <w:basedOn w:val="DefaultParagraphFont"/>
  </w:style>
  <w:style w:type="character" w:customStyle="1" w:styleId="spacebeforebulletcntc">
    <w:name w:val="spacebefore_bullet_cntc"/>
    <w:basedOn w:val="DefaultParagraphFont"/>
    <w:rPr>
      <w:rFonts w:ascii="Arial" w:eastAsia="Arial" w:hAnsi="Arial" w:cs="Arial"/>
      <w:sz w:val="20"/>
      <w:szCs w:val="20"/>
    </w:rPr>
  </w:style>
  <w:style w:type="character" w:customStyle="1" w:styleId="bluebullet">
    <w:name w:val="bluebullet"/>
    <w:basedOn w:val="DefaultParagraphFont"/>
    <w:rPr>
      <w:rFonts w:ascii="Arial" w:eastAsia="Arial" w:hAnsi="Arial" w:cs="Arial"/>
      <w:sz w:val="20"/>
      <w:szCs w:val="20"/>
    </w:rPr>
  </w:style>
  <w:style w:type="character" w:customStyle="1" w:styleId="skn-slo3spanempty">
    <w:name w:val="skn-slo3_span_empty"/>
    <w:basedOn w:val="DefaultParagraphFont"/>
    <w:rPr>
      <w:vanish/>
    </w:rPr>
  </w:style>
  <w:style w:type="character" w:customStyle="1" w:styleId="skn-slo3ullinth-last-child1">
    <w:name w:val="skn-slo3_ul_li_nth-last-child(1)"/>
    <w:basedOn w:val="DefaultParagraphFont"/>
  </w:style>
  <w:style w:type="character" w:customStyle="1" w:styleId="skn-slo3addressCharacter">
    <w:name w:val="skn-slo3_address Character"/>
    <w:basedOn w:val="DefaultParagraphFont"/>
  </w:style>
  <w:style w:type="table" w:customStyle="1" w:styleId="skn-slo3top-section">
    <w:name w:val="skn-slo3_top-section"/>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top-sectionparent-containersectionnth-child1">
    <w:name w:val="skn-slo3_top-section + parent-container_section_nth-child(1)"/>
    <w:basedOn w:val="Normal"/>
  </w:style>
  <w:style w:type="paragraph" w:customStyle="1" w:styleId="skn-slo3heading">
    <w:name w:val="skn-slo3_heading"/>
    <w:basedOn w:val="Normal"/>
    <w:rPr>
      <w:b/>
      <w:bCs/>
      <w:caps/>
    </w:rPr>
  </w:style>
  <w:style w:type="paragraph" w:customStyle="1" w:styleId="skn-slo3section-title">
    <w:name w:val="skn-slo3_section-title"/>
    <w:basedOn w:val="Normal"/>
    <w:pPr>
      <w:spacing w:line="340" w:lineRule="atLeast"/>
    </w:pPr>
    <w:rPr>
      <w:color w:val="050505"/>
      <w:sz w:val="24"/>
      <w:szCs w:val="24"/>
    </w:rPr>
  </w:style>
  <w:style w:type="paragraph" w:customStyle="1" w:styleId="skn-slo3singlecolumn">
    <w:name w:val="skn-slo3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cmn-sec">
    <w:name w:val="skn-slo3_cmn-sec"/>
    <w:basedOn w:val="Normal"/>
  </w:style>
  <w:style w:type="paragraph" w:customStyle="1" w:styleId="skn-slo3cmn-secheading">
    <w:name w:val="skn-slo3_cmn-sec_heading"/>
    <w:basedOn w:val="Normal"/>
  </w:style>
  <w:style w:type="paragraph" w:customStyle="1" w:styleId="skn-slo3cmn-secparagraph">
    <w:name w:val="skn-slo3_cmn-sec_paragraph"/>
    <w:basedOn w:val="Normal"/>
    <w:pPr>
      <w:pBdr>
        <w:left w:val="none" w:sz="0" w:space="18" w:color="auto"/>
      </w:pBdr>
      <w:spacing w:line="300" w:lineRule="atLeast"/>
    </w:pPr>
    <w:rPr>
      <w:sz w:val="20"/>
      <w:szCs w:val="20"/>
    </w:rPr>
  </w:style>
  <w:style w:type="paragraph" w:customStyle="1" w:styleId="skn-slo3ullinth-last-child1Paragraph">
    <w:name w:val="skn-slo3_ul_li_nth-last-child(1) Paragraph"/>
    <w:basedOn w:val="Normal"/>
  </w:style>
  <w:style w:type="character" w:customStyle="1" w:styleId="pCharacter">
    <w:name w:val="p Character"/>
    <w:basedOn w:val="DefaultParagraphFont"/>
    <w:rPr>
      <w:bdr w:val="none" w:sz="0" w:space="0" w:color="auto"/>
      <w:vertAlign w:val="baseline"/>
    </w:rPr>
  </w:style>
  <w:style w:type="paragraph" w:customStyle="1" w:styleId="skn-slo3cmn-secparagraphnth-last-child2">
    <w:name w:val="skn-slo3_cmn-sec_paragraph_nth-last-child(2)"/>
    <w:basedOn w:val="Normal"/>
  </w:style>
  <w:style w:type="paragraph" w:customStyle="1" w:styleId="skn-slo3cmn-secparagraphnth-last-child1">
    <w:name w:val="skn-slo3_cmn-sec_paragraph_nth-last-child(1)"/>
    <w:basedOn w:val="Normal"/>
  </w:style>
  <w:style w:type="paragraph" w:customStyle="1" w:styleId="skn-slo3section">
    <w:name w:val="skn-slo3_section"/>
    <w:basedOn w:val="Normal"/>
  </w:style>
  <w:style w:type="character" w:customStyle="1" w:styleId="skn-slo3sectionexpr-secparlrColmntimeline-svg">
    <w:name w:val="skn-slo3_section_expr-sec_parlrColmn_timeline-svg"/>
    <w:basedOn w:val="DefaultParagraphFont"/>
  </w:style>
  <w:style w:type="character" w:customStyle="1" w:styleId="skn-slo3sectionexpr-secparlrColmnsinglecolumn">
    <w:name w:val="skn-slo3_section_expr-sec_parlrColmn_singlecolumn"/>
    <w:basedOn w:val="DefaultParagraphFont"/>
  </w:style>
  <w:style w:type="paragraph" w:customStyle="1" w:styleId="skn-slo3disp-block">
    <w:name w:val="skn-slo3_disp-block"/>
    <w:basedOn w:val="Normal"/>
  </w:style>
  <w:style w:type="character" w:customStyle="1" w:styleId="spacebeforecomp">
    <w:name w:val="space_before_comp"/>
    <w:basedOn w:val="DefaultParagraphFont"/>
    <w:rPr>
      <w:rFonts w:ascii="Arial" w:eastAsia="Arial" w:hAnsi="Arial" w:cs="Arial"/>
      <w:sz w:val="20"/>
      <w:szCs w:val="20"/>
    </w:rPr>
  </w:style>
  <w:style w:type="character" w:customStyle="1" w:styleId="skn-slo3color-support">
    <w:name w:val="skn-slo3_color-support"/>
    <w:basedOn w:val="DefaultParagraphFont"/>
    <w:rPr>
      <w:color w:val="050505"/>
    </w:rPr>
  </w:style>
  <w:style w:type="character" w:customStyle="1" w:styleId="skn-slo3sectionexpr-sectbl-uppertbl-leftinner">
    <w:name w:val="skn-slo3_section_expr-sec_tbl-upper_tbl-leftinner"/>
    <w:basedOn w:val="DefaultParagraphFont"/>
  </w:style>
  <w:style w:type="character" w:customStyle="1" w:styleId="singlecolumnspanpaddedlinenth-child1">
    <w:name w:val="singlecolumn_span_paddedline_nth-child(1)"/>
    <w:basedOn w:val="DefaultParagraphFont"/>
  </w:style>
  <w:style w:type="character" w:customStyle="1" w:styleId="skn-slo3sectionexpr-sectbl-upperpaddingcell">
    <w:name w:val="skn-slo3_section_expr-sec_tbl-upper_paddingcell"/>
    <w:basedOn w:val="DefaultParagraphFont"/>
  </w:style>
  <w:style w:type="character" w:customStyle="1" w:styleId="skn-slo3sectionexpr-sectbl-uppertbl-inner">
    <w:name w:val="skn-slo3_section_expr-sec_tbl-upper_tbl-inner"/>
    <w:basedOn w:val="DefaultParagraphFont"/>
  </w:style>
  <w:style w:type="character" w:customStyle="1" w:styleId="skn-slo3txt-itl">
    <w:name w:val="skn-slo3_txt-itl"/>
    <w:basedOn w:val="DefaultParagraphFont"/>
    <w:rPr>
      <w:i/>
      <w:iCs/>
    </w:rPr>
  </w:style>
  <w:style w:type="table" w:customStyle="1" w:styleId="skn-slo3sectionexpr-sectbl-upper">
    <w:name w:val="skn-slo3_section_expr-sec_tbl-upper"/>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3ulliParagraph">
    <w:name w:val="skn-slo3_ul_li Paragraph"/>
    <w:basedOn w:val="Normal"/>
  </w:style>
  <w:style w:type="table" w:customStyle="1" w:styleId="skn-slo3sectionexpr-secparlrColmn">
    <w:name w:val="skn-slo3_section_expr-sec_parlrColmn"/>
    <w:basedOn w:val="TableNormal"/>
    <w:tblPr/>
  </w:style>
  <w:style w:type="character" w:customStyle="1" w:styleId="skn-slo3sectionexpr-secparlrColmnparagraphnth-last-child1timeline-svg">
    <w:name w:val="skn-slo3_section_expr-sec_parlrColmn_paragraph_nth-last-child(1)_timeline-svg"/>
    <w:basedOn w:val="DefaultParagraphFont"/>
    <w:rPr>
      <w:bdr w:val="none" w:sz="0" w:space="0" w:color="auto"/>
    </w:rPr>
  </w:style>
  <w:style w:type="character" w:customStyle="1" w:styleId="skn-slo3sectionexpr-secparlrColmnparagraphnth-last-child1singlecolumn">
    <w:name w:val="skn-slo3_section_expr-sec_parlrColmn_paragraph_nth-last-child(1)_singlecolumn"/>
    <w:basedOn w:val="DefaultParagraphFont"/>
  </w:style>
  <w:style w:type="character" w:customStyle="1" w:styleId="skn-slo3sectionedu-secparlrColmntimeline-svg">
    <w:name w:val="skn-slo3_section_edu-sec_parlrColmn_timeline-svg"/>
    <w:basedOn w:val="DefaultParagraphFont"/>
  </w:style>
  <w:style w:type="character" w:customStyle="1" w:styleId="skn-slo3sectionedu-secparlrColmnsinglecolumn">
    <w:name w:val="skn-slo3_section_edu-sec_parlrColmn_singlecolumn"/>
    <w:basedOn w:val="DefaultParagraphFont"/>
  </w:style>
  <w:style w:type="character" w:customStyle="1" w:styleId="skn-slo3edu-secparagraphsinglecolumnedu-headerfield-groupfield-group-leftCell">
    <w:name w:val="skn-slo3_edu-sec_paragraph_singlecolumn_edu-header_field-group_field-group-leftCell"/>
    <w:basedOn w:val="DefaultParagraphFont"/>
  </w:style>
  <w:style w:type="character" w:customStyle="1" w:styleId="skn-slo3edu-seccmn-title">
    <w:name w:val="skn-slo3_edu-sec_cmn-title"/>
    <w:basedOn w:val="DefaultParagraphFont"/>
  </w:style>
  <w:style w:type="character" w:customStyle="1" w:styleId="skn-slo3edu-secparagraphsinglecolumnedu-headerfield-grouppaddingcell">
    <w:name w:val="skn-slo3_edu-sec_paragraph_singlecolumn_edu-header_field-group_paddingcell"/>
    <w:basedOn w:val="DefaultParagraphFont"/>
  </w:style>
  <w:style w:type="paragraph" w:customStyle="1" w:styleId="skn-slo3edu-secparagraphsinglecolumnedu-headerfield-grouppaddingcellParagraph">
    <w:name w:val="skn-slo3_edu-sec_paragraph_singlecolumn_edu-header_field-group_paddingcell Paragraph"/>
    <w:basedOn w:val="Normal"/>
  </w:style>
  <w:style w:type="character" w:customStyle="1" w:styleId="skn-slo3edu-secparagraphsinglecolumnedu-headerfield-groupfield-group-rightCell">
    <w:name w:val="skn-slo3_edu-sec_paragraph_singlecolumn_edu-header_field-group_field-group-rightCell"/>
    <w:basedOn w:val="DefaultParagraphFont"/>
  </w:style>
  <w:style w:type="character" w:customStyle="1" w:styleId="skn-slo3spce-beforegpa">
    <w:name w:val="skn-slo3_spce-beforegpa"/>
    <w:basedOn w:val="DefaultParagraphFont"/>
    <w:rPr>
      <w:sz w:val="20"/>
      <w:szCs w:val="20"/>
    </w:rPr>
  </w:style>
  <w:style w:type="table" w:customStyle="1" w:styleId="skn-slo3edu-secparagraphsinglecolumnedu-headerfield-group">
    <w:name w:val="skn-slo3_edu-sec_paragraph_singlecolumn_edu-header_field-group"/>
    <w:basedOn w:val="TableNormal"/>
    <w:tblPr/>
  </w:style>
  <w:style w:type="character" w:customStyle="1" w:styleId="skn-slo3tbl-leftinner">
    <w:name w:val="skn-slo3_tbl-leftinner"/>
    <w:basedOn w:val="DefaultParagraphFont"/>
  </w:style>
  <w:style w:type="character" w:customStyle="1" w:styleId="skn-slo3edu-secparagraphsinglecolumnedu-headerfield-groupfield-group-rightCellfield-group-rightCell-stillenrolled">
    <w:name w:val="skn-slo3_edu-sec_paragraph_singlecolumn_edu-header_field-group_field-group-rightCell_field-group-rightCell-stillenrolled"/>
    <w:basedOn w:val="DefaultParagraphFont"/>
  </w:style>
  <w:style w:type="table" w:customStyle="1" w:styleId="skn-slo3sectionedu-secparlrColmn">
    <w:name w:val="skn-slo3_section_edu-sec_parlrColmn"/>
    <w:basedOn w:val="TableNormal"/>
    <w:tblPr/>
  </w:style>
  <w:style w:type="character" w:customStyle="1" w:styleId="skn-slo3sectionedu-secparlrColmnparagraphnth-last-child1timeline-svg">
    <w:name w:val="skn-slo3_section_edu-sec_parlrColmn_paragraph_nth-last-child(1)_timeline-svg"/>
    <w:basedOn w:val="DefaultParagraphFont"/>
    <w:rPr>
      <w:bdr w:val="none" w:sz="0" w:space="0" w:color="auto"/>
    </w:rPr>
  </w:style>
  <w:style w:type="character" w:customStyle="1" w:styleId="skn-slo3sectionedu-secparlrColmnparagraphnth-last-child1singlecolumn">
    <w:name w:val="skn-slo3_section_edu-sec_parlrColmn_paragraph_nth-last-child(1)_singlecolumn"/>
    <w:basedOn w:val="DefaultParagraphFont"/>
  </w:style>
  <w:style w:type="paragraph" w:customStyle="1" w:styleId="skn-slo3reference-sec">
    <w:name w:val="skn-slo3_reference-sec"/>
    <w:basedOn w:val="Normal"/>
  </w:style>
  <w:style w:type="paragraph" w:customStyle="1" w:styleId="skn-slo3reference-secheading">
    <w:name w:val="skn-slo3_reference-sec_heading"/>
    <w:basedOn w:val="Normal"/>
  </w:style>
  <w:style w:type="character" w:customStyle="1" w:styleId="skn-slo3reference-secparagraphnth-last-child1">
    <w:name w:val="skn-slo3_reference-sec_paragraph_nth-last-child(1)"/>
    <w:basedOn w:val="DefaultParagraphFont"/>
  </w:style>
  <w:style w:type="table" w:customStyle="1" w:styleId="skn-slo3sectionreference-secrefparatable">
    <w:name w:val="skn-slo3_section_reference-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Deshmukh</dc:title>
  <cp:revision>0</cp:revision>
</cp:coreProperties>
</file>