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ackground w:color="ffffff">
    <v:background id="_x0000_s1025" filled="t" fillcolor="white"/>
  </w:background>
  <w:body>
    <w:tbl>
      <w:tblPr>
        <w:tblStyle w:val="top-section"/>
        <w:tblW w:w="0" w:type="auto"/>
        <w:tblCellSpacing w:w="0" w:type="dxa"/>
        <w:tblLayout w:type="fixed"/>
        <w:tblCellMar>
          <w:top w:w="0" w:type="dxa"/>
          <w:left w:w="0" w:type="dxa"/>
          <w:bottom w:w="0" w:type="dxa"/>
          <w:right w:w="0" w:type="dxa"/>
        </w:tblCellMar>
        <w:tblLook w:val="05E0"/>
      </w:tblPr>
      <w:tblGrid>
        <w:gridCol w:w="5720"/>
        <w:gridCol w:w="5720"/>
      </w:tblGrid>
      <w:tr>
        <w:tblPrEx>
          <w:tblW w:w="0" w:type="auto"/>
          <w:tblCellSpacing w:w="0" w:type="dxa"/>
          <w:tblLayout w:type="fixed"/>
          <w:tblCellMar>
            <w:top w:w="0" w:type="dxa"/>
            <w:left w:w="0" w:type="dxa"/>
            <w:bottom w:w="0" w:type="dxa"/>
            <w:right w:w="0" w:type="dxa"/>
          </w:tblCellMar>
          <w:tblLook w:val="05E0"/>
        </w:tblPrEx>
        <w:trPr>
          <w:hidden/>
          <w:tblCellSpacing w:w="0" w:type="dxa"/>
        </w:trPr>
        <w:tc>
          <w:tcPr>
            <w:tcW w:w="5720" w:type="dxa"/>
            <w:tcBorders>
              <w:top w:val="single" w:sz="40" w:space="0" w:color="A5C2C5"/>
              <w:bottom w:val="single" w:sz="40" w:space="0" w:color="A5C2C5"/>
            </w:tcBorders>
            <w:shd w:val="clear" w:color="auto" w:fill="1E666F"/>
            <w:noWrap w:val="0"/>
            <w:tcMar>
              <w:top w:w="460" w:type="dxa"/>
              <w:left w:w="0" w:type="dxa"/>
              <w:bottom w:w="440" w:type="dxa"/>
              <w:right w:w="0" w:type="dxa"/>
            </w:tcMar>
            <w:vAlign w:val="bottom"/>
            <w:hideMark/>
          </w:tcPr>
          <w:p>
            <w:pPr>
              <w:pStyle w:val="txt-bold"/>
              <w:pBdr>
                <w:top w:val="none" w:sz="0" w:space="0" w:color="auto"/>
                <w:left w:val="none" w:sz="0" w:space="19" w:color="auto"/>
                <w:bottom w:val="none" w:sz="0" w:space="0" w:color="auto"/>
                <w:right w:val="none" w:sz="0" w:space="0" w:color="auto"/>
              </w:pBdr>
              <w:spacing w:before="0" w:after="0" w:line="540" w:lineRule="atLeast"/>
              <w:ind w:left="380" w:right="0"/>
              <w:rPr>
                <w:rStyle w:val="top-sectionleft-box"/>
                <w:rFonts w:ascii="Open Sans" w:eastAsia="Open Sans" w:hAnsi="Open Sans" w:cs="Open Sans"/>
                <w:b/>
                <w:bCs/>
                <w:spacing w:val="26"/>
                <w:sz w:val="44"/>
                <w:szCs w:val="44"/>
                <w:bdr w:val="none" w:sz="0" w:space="0" w:color="auto"/>
                <w:shd w:val="clear" w:color="auto" w:fill="auto"/>
                <w:vertAlign w:val="baseline"/>
              </w:rPr>
            </w:pPr>
            <w:r>
              <w:rPr>
                <w:rStyle w:val="span"/>
                <w:rFonts w:ascii="Open Sans" w:eastAsia="Open Sans" w:hAnsi="Open Sans" w:cs="Open Sans"/>
                <w:b/>
                <w:bCs/>
                <w:color w:val="FFFFFF"/>
                <w:spacing w:val="26"/>
                <w:sz w:val="44"/>
                <w:szCs w:val="44"/>
              </w:rPr>
              <w:t>Ananya</w:t>
            </w:r>
            <w:r>
              <w:rPr>
                <w:rStyle w:val="top-sectionleft-box"/>
                <w:rFonts w:ascii="Open Sans" w:eastAsia="Open Sans" w:hAnsi="Open Sans" w:cs="Open Sans"/>
                <w:b/>
                <w:bCs/>
                <w:spacing w:val="26"/>
                <w:sz w:val="44"/>
                <w:szCs w:val="44"/>
                <w:bdr w:val="none" w:sz="0" w:space="0" w:color="auto"/>
                <w:shd w:val="clear" w:color="auto" w:fill="auto"/>
                <w:vertAlign w:val="baseline"/>
              </w:rPr>
              <w:t xml:space="preserve"> </w:t>
            </w:r>
            <w:r>
              <w:rPr>
                <w:rStyle w:val="span"/>
                <w:rFonts w:ascii="Open Sans" w:eastAsia="Open Sans" w:hAnsi="Open Sans" w:cs="Open Sans"/>
                <w:b/>
                <w:bCs/>
                <w:color w:val="FFFFFF"/>
                <w:spacing w:val="26"/>
                <w:sz w:val="44"/>
                <w:szCs w:val="44"/>
              </w:rPr>
              <w:t>Kulkarni</w:t>
            </w:r>
          </w:p>
          <w:p>
            <w:pPr>
              <w:pStyle w:val="txt-bold"/>
              <w:pBdr>
                <w:top w:val="none" w:sz="0" w:space="5" w:color="auto"/>
                <w:left w:val="none" w:sz="0" w:space="0" w:color="auto"/>
                <w:bottom w:val="none" w:sz="0" w:space="0" w:color="auto"/>
                <w:right w:val="none" w:sz="0" w:space="0" w:color="auto"/>
              </w:pBdr>
              <w:spacing w:before="0" w:after="0" w:line="280" w:lineRule="atLeast"/>
              <w:ind w:left="380" w:right="0"/>
              <w:rPr>
                <w:rStyle w:val="top-sectionleft-box"/>
                <w:rFonts w:ascii="Open Sans" w:eastAsia="Open Sans" w:hAnsi="Open Sans" w:cs="Open Sans"/>
                <w:b/>
                <w:bCs/>
                <w:spacing w:val="30"/>
                <w:bdr w:val="none" w:sz="0" w:space="0" w:color="auto"/>
                <w:shd w:val="clear" w:color="auto" w:fill="auto"/>
                <w:vertAlign w:val="baseline"/>
              </w:rPr>
            </w:pPr>
            <w:r>
              <w:rPr>
                <w:rStyle w:val="span"/>
                <w:rFonts w:ascii="Open Sans" w:eastAsia="Open Sans" w:hAnsi="Open Sans" w:cs="Open Sans"/>
                <w:b/>
                <w:bCs/>
                <w:color w:val="FFFFFF"/>
                <w:spacing w:val="30"/>
              </w:rPr>
              <w:t>Academic Librarian</w:t>
            </w:r>
          </w:p>
          <w:p>
            <w:pPr>
              <w:pStyle w:val="top-sectionleft-boxParagraph"/>
              <w:pBdr>
                <w:top w:val="none" w:sz="0" w:space="0" w:color="auto"/>
                <w:left w:val="none" w:sz="0" w:space="0" w:color="auto"/>
                <w:bottom w:val="none" w:sz="0" w:space="0" w:color="auto"/>
                <w:right w:val="none" w:sz="0" w:space="0" w:color="auto"/>
              </w:pBdr>
              <w:shd w:val="clear" w:color="auto" w:fill="auto"/>
              <w:spacing w:line="20" w:lineRule="atLeast"/>
              <w:ind w:left="0" w:right="0"/>
              <w:textAlignment w:val="auto"/>
              <w:rPr>
                <w:rStyle w:val="top-sectionleft-box"/>
                <w:rFonts w:ascii="Open Sans" w:eastAsia="Open Sans" w:hAnsi="Open Sans" w:cs="Open Sans"/>
                <w:sz w:val="2"/>
                <w:szCs w:val="2"/>
                <w:bdr w:val="none" w:sz="0" w:space="0" w:color="auto"/>
                <w:shd w:val="clear" w:color="auto" w:fill="auto"/>
                <w:vertAlign w:val="baseline"/>
              </w:rPr>
            </w:pPr>
          </w:p>
        </w:tc>
        <w:tc>
          <w:tcPr>
            <w:tcW w:w="5720" w:type="dxa"/>
            <w:tcBorders>
              <w:top w:val="single" w:sz="40" w:space="0" w:color="A5C2C5"/>
              <w:bottom w:val="single" w:sz="40" w:space="0" w:color="A5C2C5"/>
            </w:tcBorders>
            <w:shd w:val="clear" w:color="auto" w:fill="FFFFFF"/>
            <w:noWrap w:val="0"/>
            <w:tcMar>
              <w:top w:w="440" w:type="dxa"/>
              <w:left w:w="0" w:type="dxa"/>
              <w:bottom w:w="440" w:type="dxa"/>
              <w:right w:w="0" w:type="dxa"/>
            </w:tcMar>
            <w:vAlign w:val="bottom"/>
            <w:hideMark/>
          </w:tcPr>
          <w:p>
            <w:pPr>
              <w:pStyle w:val="cntc-secaddressdiv"/>
              <w:pBdr>
                <w:top w:val="none" w:sz="0" w:space="0" w:color="auto"/>
                <w:left w:val="none" w:sz="0" w:space="11" w:color="auto"/>
                <w:bottom w:val="none" w:sz="0" w:space="0" w:color="auto"/>
                <w:right w:val="none" w:sz="0" w:space="17" w:color="auto"/>
              </w:pBdr>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sz w:val="20"/>
                <w:szCs w:val="20"/>
              </w:rPr>
              <w:t>Phone</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+91 98765 43210</w:t>
            </w:r>
            <w:r>
              <w:rPr>
                <w:rStyle w:val="top-sectionright-box"/>
                <w:rFonts w:ascii="Arimo" w:eastAsia="Arimo" w:hAnsi="Arimo" w:cs="Arimo"/>
                <w:sz w:val="20"/>
                <w:szCs w:val="20"/>
                <w:bdr w:val="none" w:sz="0" w:space="0" w:color="auto"/>
                <w:shd w:val="clear" w:color="auto" w:fill="auto"/>
                <w:vertAlign w:val="baseline"/>
              </w:rPr>
              <w:t xml:space="preserve"> </w:t>
            </w:r>
          </w:p>
          <w:p>
            <w:pPr>
              <w:pStyle w:val="cntc-secaddressdivnth-last-child1"/>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color w:val="000000"/>
                <w:sz w:val="2"/>
                <w:szCs w:val="2"/>
                <w:bdr w:val="none" w:sz="0" w:space="0" w:color="auto"/>
                <w:shd w:val="clear" w:color="auto" w:fill="auto"/>
                <w:vertAlign w:val="baseline"/>
              </w:rPr>
            </w:pPr>
            <w:r>
              <w:rPr>
                <w:rStyle w:val="top-sectionright-box"/>
                <w:rFonts w:ascii="Arimo" w:eastAsia="Arimo" w:hAnsi="Arimo" w:cs="Arimo"/>
                <w:color w:val="000000"/>
                <w:sz w:val="2"/>
                <w:szCs w:val="2"/>
                <w:bdr w:val="none" w:sz="0" w:space="0" w:color="auto"/>
                <w:shd w:val="clear" w:color="auto" w:fill="auto"/>
                <w:vertAlign w:val="baseline"/>
              </w:rPr>
              <w:t> </w:t>
            </w:r>
          </w:p>
          <w:p>
            <w:pPr>
              <w:pStyle w:val="cntc-secaddressdiv"/>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sz w:val="20"/>
                <w:szCs w:val="20"/>
              </w:rPr>
              <w:t>Email</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ananya.kulkarni@example.com</w:t>
            </w:r>
            <w:r>
              <w:rPr>
                <w:rStyle w:val="top-sectionright-box"/>
                <w:rFonts w:ascii="Arimo" w:eastAsia="Arimo" w:hAnsi="Arimo" w:cs="Arimo"/>
                <w:sz w:val="20"/>
                <w:szCs w:val="20"/>
                <w:bdr w:val="none" w:sz="0" w:space="0" w:color="auto"/>
                <w:shd w:val="clear" w:color="auto" w:fill="auto"/>
                <w:vertAlign w:val="baseline"/>
              </w:rPr>
              <w:t xml:space="preserve"> </w:t>
            </w:r>
          </w:p>
          <w:p>
            <w:pPr>
              <w:pStyle w:val="cntc-secaddressdivnth-last-child1"/>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color w:val="000000"/>
                <w:sz w:val="2"/>
                <w:szCs w:val="2"/>
                <w:bdr w:val="none" w:sz="0" w:space="0" w:color="auto"/>
                <w:shd w:val="clear" w:color="auto" w:fill="auto"/>
                <w:vertAlign w:val="baseline"/>
              </w:rPr>
            </w:pPr>
            <w:r>
              <w:rPr>
                <w:rStyle w:val="top-sectionright-box"/>
                <w:rFonts w:ascii="Arimo" w:eastAsia="Arimo" w:hAnsi="Arimo" w:cs="Arimo"/>
                <w:color w:val="000000"/>
                <w:sz w:val="2"/>
                <w:szCs w:val="2"/>
                <w:bdr w:val="none" w:sz="0" w:space="0" w:color="auto"/>
                <w:shd w:val="clear" w:color="auto" w:fill="auto"/>
                <w:vertAlign w:val="baseline"/>
              </w:rPr>
              <w:t> </w:t>
            </w:r>
          </w:p>
          <w:p>
            <w:pPr>
              <w:pStyle w:val="cntc-secaddressdiv"/>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sz w:val="20"/>
                <w:szCs w:val="20"/>
              </w:rPr>
              <w:t>Address</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Pune</w:t>
            </w:r>
            <w:r>
              <w:rPr>
                <w:rStyle w:val="span"/>
                <w:rFonts w:ascii="Arimo" w:eastAsia="Arimo" w:hAnsi="Arimo" w:cs="Arimo"/>
                <w:sz w:val="20"/>
                <w:szCs w:val="20"/>
              </w:rPr>
              <w:t>,</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Maharashtra</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411005</w:t>
            </w:r>
            <w:r>
              <w:rPr>
                <w:rStyle w:val="top-sectionright-box"/>
                <w:rFonts w:ascii="Arimo" w:eastAsia="Arimo" w:hAnsi="Arimo" w:cs="Arimo"/>
                <w:sz w:val="20"/>
                <w:szCs w:val="20"/>
                <w:bdr w:val="none" w:sz="0" w:space="0" w:color="auto"/>
                <w:shd w:val="clear" w:color="auto" w:fill="auto"/>
                <w:vertAlign w:val="baseline"/>
              </w:rPr>
              <w:t xml:space="preserve"> </w:t>
            </w:r>
          </w:p>
          <w:p>
            <w:pPr>
              <w:pStyle w:val="cntc-secaddressdivnth-last-child1"/>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color w:val="000000"/>
                <w:sz w:val="2"/>
                <w:szCs w:val="2"/>
                <w:bdr w:val="none" w:sz="0" w:space="0" w:color="auto"/>
                <w:shd w:val="clear" w:color="auto" w:fill="auto"/>
                <w:vertAlign w:val="baseline"/>
              </w:rPr>
            </w:pPr>
            <w:r>
              <w:rPr>
                <w:rStyle w:val="top-sectionright-box"/>
                <w:rFonts w:ascii="Arimo" w:eastAsia="Arimo" w:hAnsi="Arimo" w:cs="Arimo"/>
                <w:color w:val="000000"/>
                <w:sz w:val="2"/>
                <w:szCs w:val="2"/>
                <w:bdr w:val="none" w:sz="0" w:space="0" w:color="auto"/>
                <w:shd w:val="clear" w:color="auto" w:fill="auto"/>
                <w:vertAlign w:val="baseline"/>
              </w:rPr>
              <w:t> </w:t>
            </w:r>
          </w:p>
          <w:p>
            <w:pPr>
              <w:pStyle w:val="cntc-secaddressdivnth-last-child1"/>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color w:val="000000"/>
                <w:sz w:val="20"/>
                <w:szCs w:val="20"/>
              </w:rPr>
              <w:t>Date of Birth</w:t>
            </w:r>
            <w:r>
              <w:rPr>
                <w:rStyle w:val="top-sectionright-box"/>
                <w:rFonts w:ascii="Arimo" w:eastAsia="Arimo" w:hAnsi="Arimo" w:cs="Arimo"/>
                <w:color w:val="000000"/>
                <w:sz w:val="20"/>
                <w:szCs w:val="20"/>
                <w:bdr w:val="none" w:sz="0" w:space="0" w:color="auto"/>
                <w:shd w:val="clear" w:color="auto" w:fill="auto"/>
                <w:vertAlign w:val="baseline"/>
              </w:rPr>
              <w:t xml:space="preserve"> </w:t>
            </w:r>
            <w:r>
              <w:rPr>
                <w:rStyle w:val="span"/>
                <w:rFonts w:ascii="Arimo" w:eastAsia="Arimo" w:hAnsi="Arimo" w:cs="Arimo"/>
                <w:color w:val="000000"/>
                <w:sz w:val="20"/>
                <w:szCs w:val="20"/>
              </w:rPr>
              <w:t>14 March 1988</w:t>
            </w:r>
            <w:r>
              <w:rPr>
                <w:rStyle w:val="top-sectionright-box"/>
                <w:rFonts w:ascii="Arimo" w:eastAsia="Arimo" w:hAnsi="Arimo" w:cs="Arimo"/>
                <w:color w:val="000000"/>
                <w:sz w:val="20"/>
                <w:szCs w:val="20"/>
                <w:bdr w:val="none" w:sz="0" w:space="0" w:color="auto"/>
                <w:shd w:val="clear" w:color="auto" w:fill="auto"/>
                <w:vertAlign w:val="baseline"/>
              </w:rPr>
              <w:t xml:space="preserve"> </w:t>
            </w:r>
          </w:p>
          <w:p>
            <w:pPr>
              <w:pStyle w:val="cntc-secaddressdivnth-last-child1gap-div"/>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vanish/>
                <w:color w:val="000000"/>
                <w:sz w:val="2"/>
                <w:szCs w:val="2"/>
                <w:bdr w:val="none" w:sz="0" w:space="0" w:color="auto"/>
                <w:shd w:val="clear" w:color="auto" w:fill="auto"/>
                <w:vertAlign w:val="baseline"/>
              </w:rPr>
            </w:pPr>
            <w:r>
              <w:rPr>
                <w:rStyle w:val="top-sectionright-box"/>
                <w:rFonts w:ascii="Arimo" w:eastAsia="Arimo" w:hAnsi="Arimo" w:cs="Arimo"/>
                <w:vanish/>
                <w:color w:val="000000"/>
                <w:sz w:val="2"/>
                <w:szCs w:val="2"/>
                <w:bdr w:val="none" w:sz="0" w:space="0" w:color="auto"/>
                <w:shd w:val="clear" w:color="auto" w:fill="auto"/>
                <w:vertAlign w:val="baseline"/>
              </w:rPr>
              <w:t> </w:t>
            </w:r>
          </w:p>
        </w:tc>
      </w:tr>
    </w:tbl>
    <w:p>
      <w:pPr>
        <w:pStyle w:val="div"/>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color w:val="2C2C2C"/>
          <w:sz w:val="20"/>
          <w:szCs w:val="20"/>
          <w:bdr w:val="none" w:sz="0" w:space="0" w:color="auto"/>
          <w:vertAlign w:val="baseline"/>
        </w:rPr>
      </w:pP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58240" behindDoc="1" locked="0" layoutInCell="1" allowOverlap="1">
            <wp:simplePos x="0" y="0"/>
            <wp:positionH relativeFrom="column">
              <wp:posOffset>0</wp:posOffset>
            </wp:positionH>
            <wp:positionV relativeFrom="paragraph">
              <wp:posOffset>203200</wp:posOffset>
            </wp:positionV>
            <wp:extent cx="7243398" cy="114849"/>
            <wp:wrapNone/>
            <wp:docPr id="100002"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2943"/>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Professional Summary</w:t>
            </w:r>
          </w:p>
        </w:tc>
      </w:tr>
    </w:tbl>
    <w:p>
      <w:pPr>
        <w:pStyle w:val="summary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260" w:lineRule="atLeast"/>
        <w:ind w:left="0" w:right="0"/>
        <w:rPr>
          <w:rFonts w:ascii="Arimo" w:eastAsia="Arimo" w:hAnsi="Arimo" w:cs="Arimo"/>
          <w:color w:val="2C2C2C"/>
          <w:sz w:val="20"/>
          <w:szCs w:val="20"/>
          <w:bdr w:val="none" w:sz="0" w:space="0" w:color="auto"/>
          <w:vertAlign w:val="baseline"/>
        </w:rPr>
      </w:pPr>
      <w:r>
        <w:rPr>
          <w:rFonts w:ascii="Arimo" w:eastAsia="Arimo" w:hAnsi="Arimo" w:cs="Arimo"/>
          <w:color w:val="2C2C2C"/>
          <w:sz w:val="20"/>
          <w:szCs w:val="20"/>
          <w:bdr w:val="none" w:sz="0" w:space="0" w:color="auto"/>
          <w:vertAlign w:val="baseline"/>
        </w:rPr>
        <w:t>Experienced Academic Librarian with a strong background in managing digital repositories, providing tailored research support, and leading information literacy initiatives. Adept at developing and optimizing collections, ensuring copyright compliance, and leveraging advanced library management systems to enhance academic outcomes. Committed to supporting diverse research and academic communities through innovative resource management and collaboration.</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203200</wp:posOffset>
            </wp:positionV>
            <wp:extent cx="7243398" cy="114849"/>
            <wp:wrapNone/>
            <wp:docPr id="100004"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870"/>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Skills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tbl>
      <w:tblPr>
        <w:tblW w:w="11040" w:type="dxa"/>
        <w:jc w:val="left"/>
        <w:tblInd w:w="400" w:type="dxa"/>
        <w:tblCellMar>
          <w:left w:w="108" w:type="dxa"/>
          <w:right w:w="108" w:type="dxa"/>
        </w:tblCellMar>
      </w:tblPr>
      <w:tblGrid>
        <w:gridCol w:w="5519"/>
        <w:gridCol w:w="5521"/>
      </w:tblGrid>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Academic Research Support</w:t>
            </w:r>
          </w:p>
        </w:tc>
        <w:tc>
          <w:tcPr>
            <w:tcW w:w="55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Library Management Systems</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Cataloguing and Classification</w:t>
            </w:r>
          </w:p>
        </w:tc>
        <w:tc>
          <w:tcPr>
            <w:tcW w:w="55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Digital Repositories</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Information Literacy Training</w:t>
            </w:r>
          </w:p>
        </w:tc>
        <w:tc>
          <w:tcPr>
            <w:tcW w:w="55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Database Management</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Reference Services</w:t>
            </w:r>
          </w:p>
        </w:tc>
        <w:tc>
          <w:tcPr>
            <w:tcW w:w="5520" w:type="dxa"/>
            <w:tcMar>
              <w:left w:w="0" w:type="dxa"/>
            </w:tcMar>
          </w:tcPr>
          <w:p>
            <w:pPr>
              <w:pStyle w:val="p"/>
              <w:numPr>
                <w:ilvl w:val="0"/>
                <w:numId w:val="8"/>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Collection Development</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9"/>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Copyright Compliance</w:t>
            </w:r>
          </w:p>
        </w:tc>
        <w:tc>
          <w:tcPr>
            <w:tcW w:w="552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Institutional Archiving</w:t>
            </w:r>
          </w:p>
        </w:tc>
      </w:tr>
    </w:tbl>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0288" behindDoc="1" locked="0" layoutInCell="1" allowOverlap="1">
            <wp:simplePos x="0" y="0"/>
            <wp:positionH relativeFrom="column">
              <wp:posOffset>0</wp:posOffset>
            </wp:positionH>
            <wp:positionV relativeFrom="paragraph">
              <wp:posOffset>203200</wp:posOffset>
            </wp:positionV>
            <wp:extent cx="7243398" cy="114849"/>
            <wp:wrapNone/>
            <wp:docPr id="100006"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564"/>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Experience</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singlecolumn"/>
        <w:pBdr>
          <w:top w:val="none" w:sz="0" w:space="0" w:color="auto"/>
          <w:left w:val="none" w:sz="0" w:space="0" w:color="auto"/>
          <w:bottom w:val="none" w:sz="0" w:space="0" w:color="auto"/>
          <w:right w:val="none" w:sz="0" w:space="0" w:color="auto"/>
        </w:pBdr>
        <w:spacing w:before="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Academic Librarian</w:t>
      </w:r>
      <w:r>
        <w:rPr>
          <w:rStyle w:val="span"/>
          <w:rFonts w:ascii="Open Sans" w:eastAsia="Open Sans" w:hAnsi="Open Sans" w:cs="Open Sans"/>
          <w:b/>
          <w:bCs/>
          <w:color w:val="2C2C2C"/>
          <w:sz w:val="20"/>
          <w:szCs w:val="20"/>
        </w:rPr>
        <w:t xml:space="preserve"> — </w:t>
      </w:r>
      <w:r>
        <w:rPr>
          <w:rStyle w:val="span"/>
          <w:rFonts w:ascii="Open Sans" w:eastAsia="Open Sans" w:hAnsi="Open Sans" w:cs="Open Sans"/>
          <w:b/>
          <w:bCs/>
          <w:color w:val="2C2C2C"/>
          <w:sz w:val="20"/>
          <w:szCs w:val="20"/>
        </w:rPr>
        <w:t>Symbiosis International University</w:t>
      </w:r>
      <w:r>
        <w:rPr>
          <w:rStyle w:val="singlecolumnspanpaddedlinenth-child1"/>
          <w:rFonts w:ascii="Open Sans" w:eastAsia="Open Sans" w:hAnsi="Open Sans" w:cs="Open Sans"/>
          <w:b/>
          <w:bCs/>
          <w:color w:val="2C2C2C"/>
          <w:sz w:val="20"/>
          <w:szCs w:val="20"/>
        </w:rPr>
        <w:t xml:space="preserve"> </w:t>
      </w:r>
    </w:p>
    <w:p>
      <w:pPr>
        <w:pStyle w:val="paddedline"/>
        <w:spacing w:before="20" w:after="0"/>
        <w:ind w:left="0" w:right="0"/>
        <w:rPr>
          <w:rFonts w:ascii="Open Sans" w:eastAsia="Open Sans" w:hAnsi="Open Sans" w:cs="Open Sans"/>
          <w:color w:val="2C2C2C"/>
          <w:sz w:val="20"/>
          <w:szCs w:val="20"/>
          <w:bdr w:val="none" w:sz="0" w:space="0" w:color="auto"/>
          <w:vertAlign w:val="baseline"/>
        </w:rPr>
      </w:pPr>
      <w:r>
        <w:rPr>
          <w:rStyle w:val="span"/>
          <w:rFonts w:ascii="Open Sans" w:eastAsia="Open Sans" w:hAnsi="Open Sans" w:cs="Open Sans"/>
          <w:color w:val="2C2C2C"/>
          <w:sz w:val="20"/>
          <w:szCs w:val="20"/>
        </w:rPr>
        <w:t>Pune</w:t>
      </w:r>
      <w:r>
        <w:rPr>
          <w:rStyle w:val="span"/>
          <w:rFonts w:ascii="Open Sans" w:eastAsia="Open Sans" w:hAnsi="Open Sans" w:cs="Open Sans"/>
          <w:color w:val="2C2C2C"/>
          <w:sz w:val="20"/>
          <w:szCs w:val="20"/>
        </w:rPr>
        <w:t xml:space="preserve">, </w:t>
      </w:r>
      <w:r>
        <w:rPr>
          <w:rStyle w:val="span"/>
          <w:rFonts w:ascii="Open Sans" w:eastAsia="Open Sans" w:hAnsi="Open Sans" w:cs="Open Sans"/>
          <w:color w:val="2C2C2C"/>
          <w:sz w:val="20"/>
          <w:szCs w:val="20"/>
        </w:rPr>
        <w:t>Maharashtra</w:t>
      </w:r>
      <w:r>
        <w:rPr>
          <w:rStyle w:val="span"/>
          <w:rFonts w:ascii="Open Sans" w:eastAsia="Open Sans" w:hAnsi="Open Sans" w:cs="Open Sans"/>
          <w:color w:val="2C2C2C"/>
          <w:sz w:val="20"/>
          <w:szCs w:val="20"/>
        </w:rPr>
        <w:t xml:space="preserve">, </w:t>
      </w:r>
      <w:r>
        <w:rPr>
          <w:rStyle w:val="span"/>
          <w:rFonts w:ascii="Open Sans" w:eastAsia="Open Sans" w:hAnsi="Open Sans" w:cs="Open Sans"/>
          <w:i/>
          <w:iCs/>
          <w:color w:val="2C2C2C"/>
          <w:sz w:val="20"/>
          <w:szCs w:val="20"/>
        </w:rPr>
        <w:t>July 2019</w:t>
      </w:r>
      <w:r>
        <w:rPr>
          <w:rStyle w:val="span"/>
          <w:rFonts w:ascii="Open Sans" w:eastAsia="Open Sans" w:hAnsi="Open Sans" w:cs="Open Sans"/>
          <w:i/>
          <w:iCs/>
          <w:color w:val="2C2C2C"/>
          <w:sz w:val="20"/>
          <w:szCs w:val="20"/>
        </w:rPr>
        <w:t xml:space="preserve"> - </w:t>
      </w:r>
      <w:r>
        <w:rPr>
          <w:rStyle w:val="span"/>
          <w:rFonts w:ascii="Open Sans" w:eastAsia="Open Sans" w:hAnsi="Open Sans" w:cs="Open Sans"/>
          <w:i/>
          <w:iCs/>
          <w:color w:val="2C2C2C"/>
          <w:sz w:val="20"/>
          <w:szCs w:val="20"/>
        </w:rPr>
        <w:t>Present</w:t>
      </w:r>
    </w:p>
    <w:p>
      <w:pPr>
        <w:pStyle w:val="expr-secli"/>
        <w:numPr>
          <w:ilvl w:val="0"/>
          <w:numId w:val="11"/>
        </w:numPr>
        <w:pBdr>
          <w:left w:val="none" w:sz="0" w:space="7" w:color="auto"/>
        </w:pBdr>
        <w:spacing w:before="240"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Managed academic library operations supporting undergraduate, postgraduate, and doctoral research activities across multiple departments.</w:t>
      </w:r>
    </w:p>
    <w:p>
      <w:pPr>
        <w:pStyle w:val="expr-secli"/>
        <w:numPr>
          <w:ilvl w:val="0"/>
          <w:numId w:val="11"/>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Provided research assistance to faculty members using Scopus, Web of Science, JSTOR, and institutional digital repositories.</w:t>
      </w:r>
    </w:p>
    <w:p>
      <w:pPr>
        <w:pStyle w:val="expr-secli"/>
        <w:numPr>
          <w:ilvl w:val="0"/>
          <w:numId w:val="11"/>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Developed and maintained digital collections following AACR2 and RDA cataloguing standards.</w:t>
      </w:r>
    </w:p>
    <w:p>
      <w:pPr>
        <w:pStyle w:val="expr-secli"/>
        <w:numPr>
          <w:ilvl w:val="0"/>
          <w:numId w:val="11"/>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Conducted information literacy sessions for students on citation management and academic integrity practices.</w:t>
      </w:r>
    </w:p>
    <w:p>
      <w:pPr>
        <w:pStyle w:val="expr-secli"/>
        <w:numPr>
          <w:ilvl w:val="0"/>
          <w:numId w:val="11"/>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Coordinated with faculty committees for curriculum-aligned resource acquisition and subscription renewals.</w:t>
      </w:r>
    </w:p>
    <w:p>
      <w:pPr>
        <w:pStyle w:val="linth-last-child1"/>
        <w:numPr>
          <w:ilvl w:val="0"/>
          <w:numId w:val="11"/>
        </w:numPr>
        <w:pBdr>
          <w:left w:val="none" w:sz="0" w:space="7" w:color="auto"/>
        </w:pBdr>
        <w:spacing w:after="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rFonts w:ascii="Arimo" w:eastAsia="Arimo" w:hAnsi="Arimo" w:cs="Arimo"/>
          <w:color w:val="2C2C2C"/>
          <w:sz w:val="20"/>
          <w:szCs w:val="20"/>
          <w:bdr w:val="none" w:sz="0" w:space="0" w:color="auto"/>
          <w:vertAlign w:val="baseline"/>
        </w:rPr>
        <w:t>Maintained usage analytics reports to support budget planning and resource optimization decisions.</w:t>
      </w:r>
    </w:p>
    <w:p>
      <w:pPr>
        <w:pStyle w:val="singlecolumn"/>
        <w:pBdr>
          <w:top w:val="none" w:sz="0" w:space="0" w:color="auto"/>
          <w:left w:val="none" w:sz="0" w:space="0" w:color="auto"/>
          <w:bottom w:val="none" w:sz="0" w:space="0" w:color="auto"/>
          <w:right w:val="none" w:sz="0" w:space="0" w:color="auto"/>
        </w:pBdr>
        <w:spacing w:before="20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Assistant Librarian</w:t>
      </w:r>
      <w:r>
        <w:rPr>
          <w:rStyle w:val="span"/>
          <w:rFonts w:ascii="Open Sans" w:eastAsia="Open Sans" w:hAnsi="Open Sans" w:cs="Open Sans"/>
          <w:b/>
          <w:bCs/>
          <w:color w:val="2C2C2C"/>
          <w:sz w:val="20"/>
          <w:szCs w:val="20"/>
        </w:rPr>
        <w:t xml:space="preserve"> — </w:t>
      </w:r>
      <w:r>
        <w:rPr>
          <w:rStyle w:val="span"/>
          <w:rFonts w:ascii="Open Sans" w:eastAsia="Open Sans" w:hAnsi="Open Sans" w:cs="Open Sans"/>
          <w:b/>
          <w:bCs/>
          <w:color w:val="2C2C2C"/>
          <w:sz w:val="20"/>
          <w:szCs w:val="20"/>
        </w:rPr>
        <w:t>Savitribai Phule Pune University</w:t>
      </w:r>
      <w:r>
        <w:rPr>
          <w:rStyle w:val="singlecolumnspanpaddedlinenth-child1"/>
          <w:rFonts w:ascii="Open Sans" w:eastAsia="Open Sans" w:hAnsi="Open Sans" w:cs="Open Sans"/>
          <w:b/>
          <w:bCs/>
          <w:color w:val="2C2C2C"/>
          <w:sz w:val="20"/>
          <w:szCs w:val="20"/>
        </w:rPr>
        <w:t xml:space="preserve"> </w:t>
      </w:r>
    </w:p>
    <w:p>
      <w:pPr>
        <w:pStyle w:val="paddedline"/>
        <w:spacing w:before="20" w:after="0"/>
        <w:ind w:left="0" w:right="0"/>
        <w:rPr>
          <w:rFonts w:ascii="Open Sans" w:eastAsia="Open Sans" w:hAnsi="Open Sans" w:cs="Open Sans"/>
          <w:color w:val="2C2C2C"/>
          <w:sz w:val="20"/>
          <w:szCs w:val="20"/>
          <w:bdr w:val="none" w:sz="0" w:space="0" w:color="auto"/>
          <w:vertAlign w:val="baseline"/>
        </w:rPr>
      </w:pPr>
      <w:r>
        <w:rPr>
          <w:rStyle w:val="span"/>
          <w:rFonts w:ascii="Open Sans" w:eastAsia="Open Sans" w:hAnsi="Open Sans" w:cs="Open Sans"/>
          <w:color w:val="2C2C2C"/>
          <w:sz w:val="20"/>
          <w:szCs w:val="20"/>
        </w:rPr>
        <w:t>Pune</w:t>
      </w:r>
      <w:r>
        <w:rPr>
          <w:rStyle w:val="span"/>
          <w:rFonts w:ascii="Open Sans" w:eastAsia="Open Sans" w:hAnsi="Open Sans" w:cs="Open Sans"/>
          <w:color w:val="2C2C2C"/>
          <w:sz w:val="20"/>
          <w:szCs w:val="20"/>
        </w:rPr>
        <w:t xml:space="preserve">, </w:t>
      </w:r>
      <w:r>
        <w:rPr>
          <w:rStyle w:val="span"/>
          <w:rFonts w:ascii="Open Sans" w:eastAsia="Open Sans" w:hAnsi="Open Sans" w:cs="Open Sans"/>
          <w:color w:val="2C2C2C"/>
          <w:sz w:val="20"/>
          <w:szCs w:val="20"/>
        </w:rPr>
        <w:t>Maharashtra</w:t>
      </w:r>
      <w:r>
        <w:rPr>
          <w:rStyle w:val="span"/>
          <w:rFonts w:ascii="Open Sans" w:eastAsia="Open Sans" w:hAnsi="Open Sans" w:cs="Open Sans"/>
          <w:color w:val="2C2C2C"/>
          <w:sz w:val="20"/>
          <w:szCs w:val="20"/>
        </w:rPr>
        <w:t xml:space="preserve">, </w:t>
      </w:r>
      <w:r>
        <w:rPr>
          <w:rStyle w:val="span"/>
          <w:rFonts w:ascii="Open Sans" w:eastAsia="Open Sans" w:hAnsi="Open Sans" w:cs="Open Sans"/>
          <w:i/>
          <w:iCs/>
          <w:color w:val="2C2C2C"/>
          <w:sz w:val="20"/>
          <w:szCs w:val="20"/>
        </w:rPr>
        <w:t>January 2016</w:t>
      </w:r>
      <w:r>
        <w:rPr>
          <w:rStyle w:val="span"/>
          <w:rFonts w:ascii="Open Sans" w:eastAsia="Open Sans" w:hAnsi="Open Sans" w:cs="Open Sans"/>
          <w:i/>
          <w:iCs/>
          <w:color w:val="2C2C2C"/>
          <w:sz w:val="20"/>
          <w:szCs w:val="20"/>
        </w:rPr>
        <w:t xml:space="preserve"> - </w:t>
      </w:r>
      <w:r>
        <w:rPr>
          <w:rStyle w:val="span"/>
          <w:rFonts w:ascii="Open Sans" w:eastAsia="Open Sans" w:hAnsi="Open Sans" w:cs="Open Sans"/>
          <w:i/>
          <w:iCs/>
          <w:color w:val="2C2C2C"/>
          <w:sz w:val="20"/>
          <w:szCs w:val="20"/>
        </w:rPr>
        <w:t>June 2019</w:t>
      </w:r>
    </w:p>
    <w:p>
      <w:pPr>
        <w:pStyle w:val="expr-secli"/>
        <w:numPr>
          <w:ilvl w:val="0"/>
          <w:numId w:val="12"/>
        </w:numPr>
        <w:pBdr>
          <w:left w:val="none" w:sz="0" w:space="7" w:color="auto"/>
        </w:pBdr>
        <w:spacing w:before="240"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Assisted in daily library services including circulation, reference desk support, and academic journal management.</w:t>
      </w:r>
    </w:p>
    <w:p>
      <w:pPr>
        <w:pStyle w:val="expr-secli"/>
        <w:numPr>
          <w:ilvl w:val="0"/>
          <w:numId w:val="12"/>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Supported faculty research projects by sourcing peer-reviewed articles and verified academic publications.</w:t>
      </w:r>
    </w:p>
    <w:p>
      <w:pPr>
        <w:pStyle w:val="expr-secli"/>
        <w:numPr>
          <w:ilvl w:val="0"/>
          <w:numId w:val="12"/>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Organized print and digital collections using Dewey Decimal Classification systems.</w:t>
      </w:r>
    </w:p>
    <w:p>
      <w:pPr>
        <w:pStyle w:val="expr-secli"/>
        <w:numPr>
          <w:ilvl w:val="0"/>
          <w:numId w:val="12"/>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Assisted in institutional repository updates and metadata quality checks.</w:t>
      </w:r>
    </w:p>
    <w:p>
      <w:pPr>
        <w:pStyle w:val="expr-secli"/>
        <w:numPr>
          <w:ilvl w:val="0"/>
          <w:numId w:val="12"/>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Guided students on thesis formatting, plagiarism tools, and referencing standards.</w:t>
      </w:r>
    </w:p>
    <w:p>
      <w:pPr>
        <w:pStyle w:val="linth-last-child1"/>
        <w:numPr>
          <w:ilvl w:val="0"/>
          <w:numId w:val="12"/>
        </w:numPr>
        <w:pBdr>
          <w:left w:val="none" w:sz="0" w:space="7" w:color="auto"/>
        </w:pBdr>
        <w:spacing w:after="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rFonts w:ascii="Arimo" w:eastAsia="Arimo" w:hAnsi="Arimo" w:cs="Arimo"/>
          <w:color w:val="2C2C2C"/>
          <w:sz w:val="20"/>
          <w:szCs w:val="20"/>
          <w:bdr w:val="none" w:sz="0" w:space="0" w:color="auto"/>
          <w:vertAlign w:val="baseline"/>
        </w:rPr>
        <w:t>Participated in library audits and accreditation documentation preparation activities.</w:t>
      </w:r>
    </w:p>
    <w:p>
      <w:pPr>
        <w:pStyle w:val="singlecolumn"/>
        <w:pBdr>
          <w:top w:val="none" w:sz="0" w:space="0" w:color="auto"/>
          <w:left w:val="none" w:sz="0" w:space="0" w:color="auto"/>
          <w:bottom w:val="none" w:sz="0" w:space="0" w:color="auto"/>
          <w:right w:val="none" w:sz="0" w:space="0" w:color="auto"/>
        </w:pBdr>
        <w:spacing w:before="20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Library Information Officer</w:t>
      </w:r>
      <w:r>
        <w:rPr>
          <w:rStyle w:val="span"/>
          <w:rFonts w:ascii="Open Sans" w:eastAsia="Open Sans" w:hAnsi="Open Sans" w:cs="Open Sans"/>
          <w:b/>
          <w:bCs/>
          <w:color w:val="2C2C2C"/>
          <w:sz w:val="20"/>
          <w:szCs w:val="20"/>
        </w:rPr>
        <w:t xml:space="preserve"> — </w:t>
      </w:r>
      <w:r>
        <w:rPr>
          <w:rStyle w:val="span"/>
          <w:rFonts w:ascii="Open Sans" w:eastAsia="Open Sans" w:hAnsi="Open Sans" w:cs="Open Sans"/>
          <w:b/>
          <w:bCs/>
          <w:color w:val="2C2C2C"/>
          <w:sz w:val="20"/>
          <w:szCs w:val="20"/>
        </w:rPr>
        <w:t>MIT College of Engineering</w:t>
      </w:r>
      <w:r>
        <w:rPr>
          <w:rStyle w:val="singlecolumnspanpaddedlinenth-child1"/>
          <w:rFonts w:ascii="Open Sans" w:eastAsia="Open Sans" w:hAnsi="Open Sans" w:cs="Open Sans"/>
          <w:b/>
          <w:bCs/>
          <w:color w:val="2C2C2C"/>
          <w:sz w:val="20"/>
          <w:szCs w:val="20"/>
        </w:rPr>
        <w:t xml:space="preserve"> </w:t>
      </w:r>
    </w:p>
    <w:p>
      <w:pPr>
        <w:pStyle w:val="paddedline"/>
        <w:spacing w:before="20" w:after="0"/>
        <w:ind w:left="0" w:right="0"/>
        <w:rPr>
          <w:rFonts w:ascii="Open Sans" w:eastAsia="Open Sans" w:hAnsi="Open Sans" w:cs="Open Sans"/>
          <w:color w:val="2C2C2C"/>
          <w:sz w:val="20"/>
          <w:szCs w:val="20"/>
          <w:bdr w:val="none" w:sz="0" w:space="0" w:color="auto"/>
          <w:vertAlign w:val="baseline"/>
        </w:rPr>
      </w:pPr>
      <w:r>
        <w:rPr>
          <w:rStyle w:val="span"/>
          <w:rFonts w:ascii="Open Sans" w:eastAsia="Open Sans" w:hAnsi="Open Sans" w:cs="Open Sans"/>
          <w:color w:val="2C2C2C"/>
          <w:sz w:val="20"/>
          <w:szCs w:val="20"/>
        </w:rPr>
        <w:t>Pune</w:t>
      </w:r>
      <w:r>
        <w:rPr>
          <w:rStyle w:val="span"/>
          <w:rFonts w:ascii="Open Sans" w:eastAsia="Open Sans" w:hAnsi="Open Sans" w:cs="Open Sans"/>
          <w:color w:val="2C2C2C"/>
          <w:sz w:val="20"/>
          <w:szCs w:val="20"/>
        </w:rPr>
        <w:t xml:space="preserve">, </w:t>
      </w:r>
      <w:r>
        <w:rPr>
          <w:rStyle w:val="span"/>
          <w:rFonts w:ascii="Open Sans" w:eastAsia="Open Sans" w:hAnsi="Open Sans" w:cs="Open Sans"/>
          <w:color w:val="2C2C2C"/>
          <w:sz w:val="20"/>
          <w:szCs w:val="20"/>
        </w:rPr>
        <w:t>Maharashtra</w:t>
      </w:r>
      <w:r>
        <w:rPr>
          <w:rStyle w:val="span"/>
          <w:rFonts w:ascii="Open Sans" w:eastAsia="Open Sans" w:hAnsi="Open Sans" w:cs="Open Sans"/>
          <w:color w:val="2C2C2C"/>
          <w:sz w:val="20"/>
          <w:szCs w:val="20"/>
        </w:rPr>
        <w:t xml:space="preserve">, </w:t>
      </w:r>
      <w:r>
        <w:rPr>
          <w:rStyle w:val="span"/>
          <w:rFonts w:ascii="Open Sans" w:eastAsia="Open Sans" w:hAnsi="Open Sans" w:cs="Open Sans"/>
          <w:i/>
          <w:iCs/>
          <w:color w:val="2C2C2C"/>
          <w:sz w:val="20"/>
          <w:szCs w:val="20"/>
        </w:rPr>
        <w:t>June 2013</w:t>
      </w:r>
      <w:r>
        <w:rPr>
          <w:rStyle w:val="span"/>
          <w:rFonts w:ascii="Open Sans" w:eastAsia="Open Sans" w:hAnsi="Open Sans" w:cs="Open Sans"/>
          <w:i/>
          <w:iCs/>
          <w:color w:val="2C2C2C"/>
          <w:sz w:val="20"/>
          <w:szCs w:val="20"/>
        </w:rPr>
        <w:t xml:space="preserve"> - </w:t>
      </w:r>
      <w:r>
        <w:rPr>
          <w:rStyle w:val="span"/>
          <w:rFonts w:ascii="Open Sans" w:eastAsia="Open Sans" w:hAnsi="Open Sans" w:cs="Open Sans"/>
          <w:i/>
          <w:iCs/>
          <w:color w:val="2C2C2C"/>
          <w:sz w:val="20"/>
          <w:szCs w:val="20"/>
        </w:rPr>
        <w:t>December 2015</w:t>
      </w:r>
    </w:p>
    <w:p>
      <w:pPr>
        <w:pStyle w:val="expr-secli"/>
        <w:numPr>
          <w:ilvl w:val="0"/>
          <w:numId w:val="13"/>
        </w:numPr>
        <w:pBdr>
          <w:left w:val="none" w:sz="0" w:space="7" w:color="auto"/>
        </w:pBdr>
        <w:spacing w:before="240"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Maintained academic book collections aligned with engineering and technology curricula.</w:t>
      </w:r>
    </w:p>
    <w:p>
      <w:pPr>
        <w:pStyle w:val="expr-secli"/>
        <w:numPr>
          <w:ilvl w:val="0"/>
          <w:numId w:val="13"/>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Supported student research through structured reference services and database navigation.</w:t>
      </w:r>
    </w:p>
    <w:p>
      <w:pPr>
        <w:pStyle w:val="expr-secli"/>
        <w:numPr>
          <w:ilvl w:val="0"/>
          <w:numId w:val="13"/>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Assisted in migration from manual cataloguing to integrated library management software.</w:t>
      </w:r>
    </w:p>
    <w:p>
      <w:pPr>
        <w:pStyle w:val="expr-secli"/>
        <w:numPr>
          <w:ilvl w:val="0"/>
          <w:numId w:val="13"/>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Coordinated inter-library loan requests with partner academic institutions.</w:t>
      </w:r>
    </w:p>
    <w:p>
      <w:pPr>
        <w:pStyle w:val="expr-secli"/>
        <w:numPr>
          <w:ilvl w:val="0"/>
          <w:numId w:val="13"/>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Prepared monthly circulation and usage performance reports.</w:t>
      </w:r>
    </w:p>
    <w:p>
      <w:pPr>
        <w:pStyle w:val="linth-last-child1"/>
        <w:numPr>
          <w:ilvl w:val="0"/>
          <w:numId w:val="13"/>
        </w:numPr>
        <w:pBdr>
          <w:left w:val="none" w:sz="0" w:space="7" w:color="auto"/>
        </w:pBdr>
        <w:spacing w:after="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rFonts w:ascii="Arimo" w:eastAsia="Arimo" w:hAnsi="Arimo" w:cs="Arimo"/>
          <w:color w:val="2C2C2C"/>
          <w:sz w:val="20"/>
          <w:szCs w:val="20"/>
          <w:bdr w:val="none" w:sz="0" w:space="0" w:color="auto"/>
          <w:vertAlign w:val="baseline"/>
        </w:rPr>
        <w:t>Supported academic staff during accreditation and inspection processes.</w:t>
      </w:r>
    </w:p>
    <w:p>
      <w:pPr>
        <w:pStyle w:val="singlecolumn"/>
        <w:pBdr>
          <w:top w:val="none" w:sz="0" w:space="0" w:color="auto"/>
          <w:left w:val="none" w:sz="0" w:space="0" w:color="auto"/>
          <w:bottom w:val="none" w:sz="0" w:space="0" w:color="auto"/>
          <w:right w:val="none" w:sz="0" w:space="0" w:color="auto"/>
        </w:pBdr>
        <w:spacing w:before="20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Volunteer Librarian</w:t>
      </w:r>
      <w:r>
        <w:rPr>
          <w:rStyle w:val="span"/>
          <w:rFonts w:ascii="Open Sans" w:eastAsia="Open Sans" w:hAnsi="Open Sans" w:cs="Open Sans"/>
          <w:b/>
          <w:bCs/>
          <w:color w:val="2C2C2C"/>
          <w:sz w:val="20"/>
          <w:szCs w:val="20"/>
        </w:rPr>
        <w:t xml:space="preserve"> — </w:t>
      </w:r>
      <w:r>
        <w:rPr>
          <w:rStyle w:val="span"/>
          <w:rFonts w:ascii="Open Sans" w:eastAsia="Open Sans" w:hAnsi="Open Sans" w:cs="Open Sans"/>
          <w:b/>
          <w:bCs/>
          <w:color w:val="2C2C2C"/>
          <w:sz w:val="20"/>
          <w:szCs w:val="20"/>
        </w:rPr>
        <w:t>Community Learning Center</w:t>
      </w:r>
      <w:r>
        <w:rPr>
          <w:rStyle w:val="singlecolumnspanpaddedlinenth-child1"/>
          <w:rFonts w:ascii="Open Sans" w:eastAsia="Open Sans" w:hAnsi="Open Sans" w:cs="Open Sans"/>
          <w:b/>
          <w:bCs/>
          <w:color w:val="2C2C2C"/>
          <w:sz w:val="20"/>
          <w:szCs w:val="20"/>
        </w:rPr>
        <w:t xml:space="preserve"> </w:t>
      </w:r>
    </w:p>
    <w:p>
      <w:pPr>
        <w:pStyle w:val="paddedline"/>
        <w:spacing w:before="20" w:after="0"/>
        <w:ind w:left="0" w:right="0"/>
        <w:rPr>
          <w:rFonts w:ascii="Open Sans" w:eastAsia="Open Sans" w:hAnsi="Open Sans" w:cs="Open Sans"/>
          <w:color w:val="2C2C2C"/>
          <w:sz w:val="20"/>
          <w:szCs w:val="20"/>
          <w:bdr w:val="none" w:sz="0" w:space="0" w:color="auto"/>
          <w:vertAlign w:val="baseline"/>
        </w:rPr>
      </w:pPr>
      <w:r>
        <w:rPr>
          <w:rStyle w:val="span"/>
          <w:rFonts w:ascii="Open Sans" w:eastAsia="Open Sans" w:hAnsi="Open Sans" w:cs="Open Sans"/>
          <w:color w:val="2C2C2C"/>
          <w:sz w:val="20"/>
          <w:szCs w:val="20"/>
        </w:rPr>
        <w:t>Pune</w:t>
      </w:r>
      <w:r>
        <w:rPr>
          <w:rStyle w:val="span"/>
          <w:rFonts w:ascii="Open Sans" w:eastAsia="Open Sans" w:hAnsi="Open Sans" w:cs="Open Sans"/>
          <w:color w:val="2C2C2C"/>
          <w:sz w:val="20"/>
          <w:szCs w:val="20"/>
        </w:rPr>
        <w:t xml:space="preserve">, </w:t>
      </w:r>
      <w:r>
        <w:rPr>
          <w:rStyle w:val="span"/>
          <w:rFonts w:ascii="Open Sans" w:eastAsia="Open Sans" w:hAnsi="Open Sans" w:cs="Open Sans"/>
          <w:color w:val="2C2C2C"/>
          <w:sz w:val="20"/>
          <w:szCs w:val="20"/>
        </w:rPr>
        <w:t>Maharashtra</w:t>
      </w:r>
      <w:r>
        <w:rPr>
          <w:rStyle w:val="span"/>
          <w:rFonts w:ascii="Open Sans" w:eastAsia="Open Sans" w:hAnsi="Open Sans" w:cs="Open Sans"/>
          <w:color w:val="2C2C2C"/>
          <w:sz w:val="20"/>
          <w:szCs w:val="20"/>
        </w:rPr>
        <w:t xml:space="preserve">, </w:t>
      </w:r>
      <w:r>
        <w:rPr>
          <w:rStyle w:val="span"/>
          <w:rFonts w:ascii="Open Sans" w:eastAsia="Open Sans" w:hAnsi="Open Sans" w:cs="Open Sans"/>
          <w:i/>
          <w:iCs/>
          <w:color w:val="2C2C2C"/>
          <w:sz w:val="20"/>
          <w:szCs w:val="20"/>
        </w:rPr>
        <w:t>April 2018</w:t>
      </w:r>
      <w:r>
        <w:rPr>
          <w:rStyle w:val="span"/>
          <w:rFonts w:ascii="Open Sans" w:eastAsia="Open Sans" w:hAnsi="Open Sans" w:cs="Open Sans"/>
          <w:i/>
          <w:iCs/>
          <w:color w:val="2C2C2C"/>
          <w:sz w:val="20"/>
          <w:szCs w:val="20"/>
        </w:rPr>
        <w:t xml:space="preserve"> - </w:t>
      </w:r>
      <w:r>
        <w:rPr>
          <w:rStyle w:val="span"/>
          <w:rFonts w:ascii="Open Sans" w:eastAsia="Open Sans" w:hAnsi="Open Sans" w:cs="Open Sans"/>
          <w:i/>
          <w:iCs/>
          <w:color w:val="2C2C2C"/>
          <w:sz w:val="20"/>
          <w:szCs w:val="20"/>
        </w:rPr>
        <w:t>June 2018</w:t>
      </w:r>
    </w:p>
    <w:p>
      <w:pPr>
        <w:pStyle w:val="linth-last-child1"/>
        <w:numPr>
          <w:ilvl w:val="0"/>
          <w:numId w:val="14"/>
        </w:numPr>
        <w:pBdr>
          <w:left w:val="none" w:sz="0" w:space="7" w:color="auto"/>
        </w:pBdr>
        <w:spacing w:before="240" w:after="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rFonts w:ascii="Arimo" w:eastAsia="Arimo" w:hAnsi="Arimo" w:cs="Arimo"/>
          <w:color w:val="2C2C2C"/>
          <w:sz w:val="20"/>
          <w:szCs w:val="20"/>
          <w:bdr w:val="none" w:sz="0" w:space="0" w:color="auto"/>
          <w:vertAlign w:val="baseline"/>
        </w:rPr>
        <w:t>Organized donated academic books and supported adult learners with basic research guidance.</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1312" behindDoc="1" locked="0" layoutInCell="1" allowOverlap="1">
            <wp:simplePos x="0" y="0"/>
            <wp:positionH relativeFrom="column">
              <wp:posOffset>0</wp:posOffset>
            </wp:positionH>
            <wp:positionV relativeFrom="paragraph">
              <wp:posOffset>203200</wp:posOffset>
            </wp:positionV>
            <wp:extent cx="7243398" cy="114849"/>
            <wp:wrapNone/>
            <wp:docPr id="100008"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446"/>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Education</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div"/>
        <w:pBdr>
          <w:top w:val="none" w:sz="0" w:space="0" w:color="auto"/>
          <w:left w:val="none" w:sz="0" w:space="0" w:color="auto"/>
          <w:bottom w:val="none" w:sz="0" w:space="0" w:color="auto"/>
          <w:right w:val="none" w:sz="0" w:space="0" w:color="auto"/>
        </w:pBdr>
        <w:spacing w:before="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Master of Library and Information Science</w:t>
      </w:r>
      <w:r>
        <w:rPr>
          <w:rStyle w:val="span"/>
          <w:rFonts w:ascii="Open Sans" w:eastAsia="Open Sans" w:hAnsi="Open Sans" w:cs="Open Sans"/>
          <w:color w:val="2C2C2C"/>
          <w:sz w:val="20"/>
          <w:szCs w:val="20"/>
        </w:rPr>
        <w:t xml:space="preserve"> </w:t>
      </w:r>
    </w:p>
    <w:p>
      <w:pPr>
        <w:pStyle w:val="disp-block"/>
        <w:pBdr>
          <w:top w:val="none" w:sz="0" w:space="0" w:color="auto"/>
          <w:left w:val="none" w:sz="0" w:space="0" w:color="auto"/>
          <w:bottom w:val="none" w:sz="0" w:space="0" w:color="auto"/>
          <w:right w:val="none" w:sz="0" w:space="0" w:color="auto"/>
        </w:pBdr>
        <w:spacing w:before="20" w:after="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olor w:val="2C2C2C"/>
          <w:sz w:val="20"/>
          <w:szCs w:val="20"/>
        </w:rPr>
        <w:t xml:space="preserve">— </w:t>
      </w:r>
      <w:r>
        <w:rPr>
          <w:rStyle w:val="txt-boldCharacter"/>
          <w:rFonts w:ascii="Open Sans" w:eastAsia="Open Sans" w:hAnsi="Open Sans" w:cs="Open Sans"/>
          <w:b/>
          <w:bCs/>
          <w:color w:val="2C2C2C"/>
          <w:sz w:val="20"/>
          <w:szCs w:val="20"/>
        </w:rPr>
        <w:t>University of Mumbai</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txt-itl"/>
          <w:rFonts w:ascii="Open Sans" w:eastAsia="Open Sans" w:hAnsi="Open Sans" w:cs="Open Sans"/>
          <w:i/>
          <w:iCs/>
          <w:color w:val="2C2C2C"/>
          <w:sz w:val="20"/>
          <w:szCs w:val="20"/>
        </w:rPr>
      </w:pPr>
      <w:r>
        <w:rPr>
          <w:rStyle w:val="txt-itl"/>
          <w:rFonts w:ascii="Open Sans" w:eastAsia="Open Sans" w:hAnsi="Open Sans" w:cs="Open Sans"/>
          <w:i/>
          <w:iCs/>
          <w:color w:val="2C2C2C"/>
          <w:sz w:val="20"/>
          <w:szCs w:val="20"/>
        </w:rPr>
        <w:t>May 2013</w:t>
      </w:r>
      <w:r>
        <w:rPr>
          <w:rStyle w:val="span"/>
          <w:rFonts w:ascii="Open Sans" w:eastAsia="Open Sans" w:hAnsi="Open Sans" w:cs="Open Sans"/>
          <w:color w:val="2C2C2C"/>
          <w:sz w:val="20"/>
          <w:szCs w:val="20"/>
        </w:rPr>
        <w:t xml:space="preserve"> </w:t>
      </w:r>
    </w:p>
    <w:p>
      <w:pPr>
        <w:pStyle w:val="div"/>
        <w:pBdr>
          <w:top w:val="none" w:sz="0" w:space="0" w:color="auto"/>
          <w:left w:val="none" w:sz="0" w:space="0" w:color="auto"/>
          <w:bottom w:val="none" w:sz="0" w:space="0" w:color="auto"/>
          <w:right w:val="none" w:sz="0" w:space="0" w:color="auto"/>
        </w:pBdr>
        <w:spacing w:before="20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Bachelor of Arts</w:t>
      </w:r>
      <w:r>
        <w:rPr>
          <w:rStyle w:val="txt-boldCharacter"/>
          <w:rFonts w:ascii="Open Sans" w:eastAsia="Open Sans" w:hAnsi="Open Sans" w:cs="Open Sans"/>
          <w:b/>
          <w:bCs/>
          <w:caps/>
          <w:color w:val="2C2C2C"/>
          <w:sz w:val="20"/>
          <w:szCs w:val="20"/>
        </w:rPr>
        <w:t xml:space="preserve"> in </w:t>
      </w:r>
      <w:r>
        <w:rPr>
          <w:rStyle w:val="txt-boldCharacter"/>
          <w:rFonts w:ascii="Open Sans" w:eastAsia="Open Sans" w:hAnsi="Open Sans" w:cs="Open Sans"/>
          <w:b/>
          <w:bCs/>
          <w:caps/>
          <w:color w:val="2C2C2C"/>
          <w:sz w:val="20"/>
          <w:szCs w:val="20"/>
        </w:rPr>
        <w:t>History</w:t>
      </w:r>
      <w:r>
        <w:rPr>
          <w:rStyle w:val="span"/>
          <w:rFonts w:ascii="Open Sans" w:eastAsia="Open Sans" w:hAnsi="Open Sans" w:cs="Open Sans"/>
          <w:color w:val="2C2C2C"/>
          <w:sz w:val="20"/>
          <w:szCs w:val="20"/>
        </w:rPr>
        <w:t xml:space="preserve"> </w:t>
      </w:r>
    </w:p>
    <w:p>
      <w:pPr>
        <w:pStyle w:val="disp-block"/>
        <w:pBdr>
          <w:top w:val="none" w:sz="0" w:space="0" w:color="auto"/>
          <w:left w:val="none" w:sz="0" w:space="0" w:color="auto"/>
          <w:bottom w:val="none" w:sz="0" w:space="0" w:color="auto"/>
          <w:right w:val="none" w:sz="0" w:space="0" w:color="auto"/>
        </w:pBdr>
        <w:spacing w:before="20" w:after="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olor w:val="2C2C2C"/>
          <w:sz w:val="20"/>
          <w:szCs w:val="20"/>
        </w:rPr>
        <w:t xml:space="preserve">— </w:t>
      </w:r>
      <w:r>
        <w:rPr>
          <w:rStyle w:val="txt-boldCharacter"/>
          <w:rFonts w:ascii="Open Sans" w:eastAsia="Open Sans" w:hAnsi="Open Sans" w:cs="Open Sans"/>
          <w:b/>
          <w:bCs/>
          <w:color w:val="2C2C2C"/>
          <w:sz w:val="20"/>
          <w:szCs w:val="20"/>
        </w:rPr>
        <w:t>Fergusson College</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txt-itl"/>
          <w:rFonts w:ascii="Open Sans" w:eastAsia="Open Sans" w:hAnsi="Open Sans" w:cs="Open Sans"/>
          <w:i/>
          <w:iCs/>
          <w:color w:val="2C2C2C"/>
          <w:sz w:val="20"/>
          <w:szCs w:val="20"/>
        </w:rPr>
      </w:pPr>
      <w:r>
        <w:rPr>
          <w:rStyle w:val="txt-itl"/>
          <w:rFonts w:ascii="Open Sans" w:eastAsia="Open Sans" w:hAnsi="Open Sans" w:cs="Open Sans"/>
          <w:i/>
          <w:iCs/>
          <w:color w:val="2C2C2C"/>
          <w:sz w:val="20"/>
          <w:szCs w:val="20"/>
        </w:rPr>
        <w:t>Apr 2011</w:t>
      </w:r>
      <w:r>
        <w:rPr>
          <w:rStyle w:val="span"/>
          <w:rFonts w:ascii="Open Sans" w:eastAsia="Open Sans" w:hAnsi="Open Sans" w:cs="Open Sans"/>
          <w:color w:val="2C2C2C"/>
          <w:sz w:val="20"/>
          <w:szCs w:val="20"/>
        </w:rPr>
        <w:t xml:space="preserve"> </w:t>
      </w:r>
    </w:p>
    <w:p>
      <w:pPr>
        <w:pStyle w:val="div"/>
        <w:pBdr>
          <w:top w:val="none" w:sz="0" w:space="0" w:color="auto"/>
          <w:left w:val="none" w:sz="0" w:space="0" w:color="auto"/>
          <w:bottom w:val="none" w:sz="0" w:space="0" w:color="auto"/>
          <w:right w:val="none" w:sz="0" w:space="0" w:color="auto"/>
        </w:pBdr>
        <w:spacing w:before="20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Higher Secondary Certificate</w:t>
      </w:r>
      <w:r>
        <w:rPr>
          <w:rStyle w:val="txt-boldCharacter"/>
          <w:rFonts w:ascii="Open Sans" w:eastAsia="Open Sans" w:hAnsi="Open Sans" w:cs="Open Sans"/>
          <w:b/>
          <w:bCs/>
          <w:caps/>
          <w:color w:val="2C2C2C"/>
          <w:sz w:val="20"/>
          <w:szCs w:val="20"/>
        </w:rPr>
        <w:t xml:space="preserve"> in </w:t>
      </w:r>
      <w:r>
        <w:rPr>
          <w:rStyle w:val="txt-boldCharacter"/>
          <w:rFonts w:ascii="Open Sans" w:eastAsia="Open Sans" w:hAnsi="Open Sans" w:cs="Open Sans"/>
          <w:b/>
          <w:bCs/>
          <w:caps/>
          <w:color w:val="2C2C2C"/>
          <w:sz w:val="20"/>
          <w:szCs w:val="20"/>
        </w:rPr>
        <w:t>12th Standard</w:t>
      </w:r>
      <w:r>
        <w:rPr>
          <w:rStyle w:val="span"/>
          <w:rFonts w:ascii="Open Sans" w:eastAsia="Open Sans" w:hAnsi="Open Sans" w:cs="Open Sans"/>
          <w:color w:val="2C2C2C"/>
          <w:sz w:val="20"/>
          <w:szCs w:val="20"/>
        </w:rPr>
        <w:t xml:space="preserve"> </w:t>
      </w:r>
    </w:p>
    <w:p>
      <w:pPr>
        <w:pStyle w:val="disp-block"/>
        <w:pBdr>
          <w:top w:val="none" w:sz="0" w:space="0" w:color="auto"/>
          <w:left w:val="none" w:sz="0" w:space="0" w:color="auto"/>
          <w:bottom w:val="none" w:sz="0" w:space="0" w:color="auto"/>
          <w:right w:val="none" w:sz="0" w:space="0" w:color="auto"/>
        </w:pBdr>
        <w:spacing w:before="20" w:after="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olor w:val="2C2C2C"/>
          <w:sz w:val="20"/>
          <w:szCs w:val="20"/>
        </w:rPr>
        <w:t xml:space="preserve">— </w:t>
      </w:r>
      <w:r>
        <w:rPr>
          <w:rStyle w:val="txt-boldCharacter"/>
          <w:rFonts w:ascii="Open Sans" w:eastAsia="Open Sans" w:hAnsi="Open Sans" w:cs="Open Sans"/>
          <w:b/>
          <w:bCs/>
          <w:color w:val="2C2C2C"/>
          <w:sz w:val="20"/>
          <w:szCs w:val="20"/>
        </w:rPr>
        <w:t>Abasaheb Garware College</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txt-itl"/>
          <w:rFonts w:ascii="Open Sans" w:eastAsia="Open Sans" w:hAnsi="Open Sans" w:cs="Open Sans"/>
          <w:i/>
          <w:iCs/>
          <w:color w:val="2C2C2C"/>
          <w:sz w:val="20"/>
          <w:szCs w:val="20"/>
        </w:rPr>
      </w:pPr>
      <w:r>
        <w:rPr>
          <w:rStyle w:val="txt-itl"/>
          <w:rFonts w:ascii="Open Sans" w:eastAsia="Open Sans" w:hAnsi="Open Sans" w:cs="Open Sans"/>
          <w:i/>
          <w:iCs/>
          <w:color w:val="2C2C2C"/>
          <w:sz w:val="20"/>
          <w:szCs w:val="20"/>
        </w:rPr>
        <w:t>Mar 2008</w:t>
      </w:r>
      <w:r>
        <w:rPr>
          <w:rStyle w:val="span"/>
          <w:rFonts w:ascii="Open Sans" w:eastAsia="Open Sans" w:hAnsi="Open Sans" w:cs="Open Sans"/>
          <w:color w:val="2C2C2C"/>
          <w:sz w:val="20"/>
          <w:szCs w:val="20"/>
        </w:rPr>
        <w:t xml:space="preserve"> </w:t>
      </w:r>
    </w:p>
    <w:p>
      <w:pPr>
        <w:pStyle w:val="div"/>
        <w:pBdr>
          <w:top w:val="none" w:sz="0" w:space="0" w:color="auto"/>
          <w:left w:val="none" w:sz="0" w:space="0" w:color="auto"/>
          <w:bottom w:val="none" w:sz="0" w:space="0" w:color="auto"/>
          <w:right w:val="none" w:sz="0" w:space="0" w:color="auto"/>
        </w:pBdr>
        <w:spacing w:before="20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Secondary School Certificate</w:t>
      </w:r>
      <w:r>
        <w:rPr>
          <w:rStyle w:val="txt-boldCharacter"/>
          <w:rFonts w:ascii="Open Sans" w:eastAsia="Open Sans" w:hAnsi="Open Sans" w:cs="Open Sans"/>
          <w:b/>
          <w:bCs/>
          <w:caps/>
          <w:color w:val="2C2C2C"/>
          <w:sz w:val="20"/>
          <w:szCs w:val="20"/>
        </w:rPr>
        <w:t xml:space="preserve"> in </w:t>
      </w:r>
      <w:r>
        <w:rPr>
          <w:rStyle w:val="txt-boldCharacter"/>
          <w:rFonts w:ascii="Open Sans" w:eastAsia="Open Sans" w:hAnsi="Open Sans" w:cs="Open Sans"/>
          <w:b/>
          <w:bCs/>
          <w:caps/>
          <w:color w:val="2C2C2C"/>
          <w:sz w:val="20"/>
          <w:szCs w:val="20"/>
        </w:rPr>
        <w:t>10th Standard</w:t>
      </w:r>
      <w:r>
        <w:rPr>
          <w:rStyle w:val="span"/>
          <w:rFonts w:ascii="Open Sans" w:eastAsia="Open Sans" w:hAnsi="Open Sans" w:cs="Open Sans"/>
          <w:color w:val="2C2C2C"/>
          <w:sz w:val="20"/>
          <w:szCs w:val="20"/>
        </w:rPr>
        <w:t xml:space="preserve"> </w:t>
      </w:r>
    </w:p>
    <w:p>
      <w:pPr>
        <w:pStyle w:val="disp-block"/>
        <w:pBdr>
          <w:top w:val="none" w:sz="0" w:space="0" w:color="auto"/>
          <w:left w:val="none" w:sz="0" w:space="0" w:color="auto"/>
          <w:bottom w:val="none" w:sz="0" w:space="0" w:color="auto"/>
          <w:right w:val="none" w:sz="0" w:space="0" w:color="auto"/>
        </w:pBdr>
        <w:spacing w:before="20" w:after="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olor w:val="2C2C2C"/>
          <w:sz w:val="20"/>
          <w:szCs w:val="20"/>
        </w:rPr>
        <w:t xml:space="preserve">— </w:t>
      </w:r>
      <w:r>
        <w:rPr>
          <w:rStyle w:val="txt-boldCharacter"/>
          <w:rFonts w:ascii="Open Sans" w:eastAsia="Open Sans" w:hAnsi="Open Sans" w:cs="Open Sans"/>
          <w:b/>
          <w:bCs/>
          <w:color w:val="2C2C2C"/>
          <w:sz w:val="20"/>
          <w:szCs w:val="20"/>
        </w:rPr>
        <w:t>St. Mary's School</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txt-itl"/>
          <w:rFonts w:ascii="Open Sans" w:eastAsia="Open Sans" w:hAnsi="Open Sans" w:cs="Open Sans"/>
          <w:i/>
          <w:iCs/>
          <w:color w:val="2C2C2C"/>
          <w:sz w:val="20"/>
          <w:szCs w:val="20"/>
        </w:rPr>
      </w:pPr>
      <w:r>
        <w:rPr>
          <w:rStyle w:val="txt-itl"/>
          <w:rFonts w:ascii="Open Sans" w:eastAsia="Open Sans" w:hAnsi="Open Sans" w:cs="Open Sans"/>
          <w:i/>
          <w:iCs/>
          <w:color w:val="2C2C2C"/>
          <w:sz w:val="20"/>
          <w:szCs w:val="20"/>
        </w:rPr>
        <w:t>Mar 2006</w:t>
      </w:r>
      <w:r>
        <w:rPr>
          <w:rStyle w:val="span"/>
          <w:rFonts w:ascii="Open Sans" w:eastAsia="Open Sans" w:hAnsi="Open Sans" w:cs="Open Sans"/>
          <w:color w:val="2C2C2C"/>
          <w:sz w:val="20"/>
          <w:szCs w:val="20"/>
        </w:rPr>
        <w:t xml:space="preserve"> </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203200</wp:posOffset>
            </wp:positionV>
            <wp:extent cx="7243398" cy="114849"/>
            <wp:wrapNone/>
            <wp:docPr id="100010"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0"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869"/>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Certifications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tbl>
      <w:tblPr>
        <w:tblW w:w="11040" w:type="dxa"/>
        <w:jc w:val="left"/>
        <w:tblInd w:w="400" w:type="dxa"/>
        <w:tblCellMar>
          <w:left w:w="108" w:type="dxa"/>
          <w:right w:w="108" w:type="dxa"/>
        </w:tblCellMar>
      </w:tblPr>
      <w:tblGrid>
        <w:gridCol w:w="5520"/>
        <w:gridCol w:w="5520"/>
      </w:tblGrid>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15"/>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UGC NET Qualified – Library and Information Science, 2015</w:t>
            </w:r>
          </w:p>
        </w:tc>
        <w:tc>
          <w:tcPr>
            <w:tcW w:w="5520" w:type="dxa"/>
            <w:tcMar>
              <w:left w:w="0" w:type="dxa"/>
            </w:tcMar>
          </w:tcPr>
          <w:p>
            <w:pPr>
              <w:pStyle w:val="p"/>
              <w:numPr>
                <w:ilvl w:val="0"/>
                <w:numId w:val="16"/>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Digital Libraries Certification – NPTEL, 2020</w:t>
            </w:r>
          </w:p>
        </w:tc>
      </w:tr>
    </w:tbl>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203200</wp:posOffset>
            </wp:positionV>
            <wp:extent cx="7243398" cy="114849"/>
            <wp:wrapNone/>
            <wp:docPr id="100012"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220"/>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Projects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singlecolumn"/>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Institutional Repository Development, Implemented a digital archive for theses and faculty publications using DSpace. Information Literacy Program, Designed structured workshops improving student research skills and citation accuracy.</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203200</wp:posOffset>
            </wp:positionV>
            <wp:extent cx="7243398" cy="114849"/>
            <wp:wrapNone/>
            <wp:docPr id="100014"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2381"/>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Accomplishments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ulli"/>
        <w:numPr>
          <w:ilvl w:val="0"/>
          <w:numId w:val="17"/>
        </w:numPr>
        <w:pBdr>
          <w:top w:val="none" w:sz="0" w:space="0" w:color="auto"/>
          <w:left w:val="none" w:sz="0" w:space="0" w:color="auto"/>
          <w:bottom w:val="none" w:sz="0" w:space="0" w:color="auto"/>
          <w:right w:val="none" w:sz="0" w:space="0" w:color="auto"/>
        </w:pBdr>
        <w:spacing w:before="240" w:after="100" w:line="260" w:lineRule="atLeast"/>
        <w:ind w:left="800" w:right="0" w:hanging="332"/>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Improved database usage by 35% through targeted academic orientation programs.</w:t>
      </w:r>
    </w:p>
    <w:p>
      <w:pPr>
        <w:pStyle w:val="ulli"/>
        <w:numPr>
          <w:ilvl w:val="0"/>
          <w:numId w:val="17"/>
        </w:numPr>
        <w:spacing w:after="100" w:line="260" w:lineRule="atLeast"/>
        <w:ind w:left="800" w:right="0" w:hanging="332"/>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Recognized for excellence in faculty research support during accreditation reviews.</w:t>
      </w:r>
    </w:p>
    <w:p>
      <w:pPr>
        <w:pStyle w:val="linth-last-child1"/>
        <w:numPr>
          <w:ilvl w:val="0"/>
          <w:numId w:val="17"/>
        </w:numPr>
        <w:pBdr>
          <w:left w:val="none" w:sz="0" w:space="7" w:color="auto"/>
        </w:pBdr>
        <w:spacing w:after="0" w:line="260" w:lineRule="atLeast"/>
        <w:ind w:left="800" w:right="0" w:hanging="332"/>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Successfully led digital catalog migration with zero data loss.</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203200</wp:posOffset>
            </wp:positionV>
            <wp:extent cx="7243398" cy="114849"/>
            <wp:wrapNone/>
            <wp:docPr id="100016"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578"/>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References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tbl>
      <w:tblPr>
        <w:tblStyle w:val="sectionrefrencerefparatable"/>
        <w:tblCellSpacing w:w="0" w:type="dxa"/>
        <w:tblInd w:w="0" w:type="dxa"/>
        <w:tblCellMar>
          <w:top w:w="0" w:type="dxa"/>
          <w:left w:w="0" w:type="dxa"/>
          <w:bottom w:w="0" w:type="dxa"/>
          <w:right w:w="0" w:type="dxa"/>
        </w:tblCellMar>
        <w:tblLook w:val="05E0"/>
      </w:tblPr>
      <w:tblGrid>
        <w:gridCol w:w="5518"/>
        <w:gridCol w:w="297"/>
        <w:gridCol w:w="5506"/>
      </w:tblGrid>
      <w:tr>
        <w:tblPrEx>
          <w:tblCellSpacing w:w="0" w:type="dxa"/>
          <w:tblInd w:w="0" w:type="dxa"/>
          <w:tblCellMar>
            <w:top w:w="0" w:type="dxa"/>
            <w:left w:w="0" w:type="dxa"/>
            <w:bottom w:w="0" w:type="dxa"/>
            <w:right w:w="0" w:type="dxa"/>
          </w:tblCellMar>
          <w:tblLook w:val="05E0"/>
        </w:tblPrEx>
        <w:trPr>
          <w:tblCellSpacing w:w="0" w:type="dxa"/>
        </w:trPr>
        <w:tc>
          <w:tcPr>
            <w:tcW w:w="557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2C2C2C"/>
                <w:sz w:val="20"/>
                <w:szCs w:val="20"/>
              </w:rPr>
            </w:pPr>
            <w:r>
              <w:rPr>
                <w:rStyle w:val="span"/>
                <w:rFonts w:ascii="Open Sans" w:eastAsia="Open Sans" w:hAnsi="Open Sans" w:cs="Open Sans"/>
                <w:color w:val="2C2C2C"/>
                <w:sz w:val="20"/>
                <w:szCs w:val="20"/>
              </w:rPr>
              <w:t>References available upon request</w:t>
            </w:r>
          </w:p>
        </w:tc>
        <w:tc>
          <w:tcPr>
            <w:tcW w:w="300" w:type="dxa"/>
            <w:tcMar>
              <w:top w:w="0" w:type="dxa"/>
              <w:left w:w="0" w:type="dxa"/>
              <w:bottom w:w="0" w:type="dxa"/>
              <w:right w:w="0" w:type="dxa"/>
            </w:tcMar>
            <w:vAlign w:val="bottom"/>
            <w:hideMark/>
          </w:tcPr>
          <w:p/>
        </w:tc>
        <w:tc>
          <w:tcPr>
            <w:tcW w:w="5570" w:type="dxa"/>
            <w:tcMar>
              <w:top w:w="0" w:type="dxa"/>
              <w:left w:w="0" w:type="dxa"/>
              <w:bottom w:w="0" w:type="dxa"/>
              <w:right w:w="0" w:type="dxa"/>
            </w:tcMar>
            <w:vAlign w:val="bottom"/>
            <w:hideMark/>
          </w:tcPr>
          <w:p/>
        </w:tc>
      </w:tr>
    </w:tbl>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7596E5E4-5B79-4155-8272-A7644BF373C6}"/>
    <w:embedBold r:id="rId2" w:fontKey="{90D92FED-92E8-451F-A318-1AAC776CEF58}"/>
    <w:embedItalic r:id="rId3" w:fontKey="{275B892D-D050-44B6-AA51-ECC17F90DABC}"/>
  </w:font>
  <w:font w:name="Arimo">
    <w:charset w:val="00"/>
    <w:family w:val="auto"/>
    <w:pitch w:val="default"/>
    <w:sig w:usb0="00000000" w:usb1="00000000" w:usb2="00000000" w:usb3="00000000" w:csb0="00000001" w:csb1="00000000"/>
    <w:embedRegular r:id="rId4" w:fontKey="{DA65EB74-193C-4920-99EE-B449DB978857}"/>
    <w:embedBold r:id="rId5" w:fontKey="{612E011F-D0B2-42AF-940E-19984AA4616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slo1">
    <w:name w:val="document_skn-slo1"/>
    <w:basedOn w:val="Normal"/>
    <w:pPr>
      <w:spacing w:line="260" w:lineRule="atLeast"/>
    </w:pPr>
    <w:rPr>
      <w:color w:val="2C2C2C"/>
    </w:rPr>
  </w:style>
  <w:style w:type="character" w:customStyle="1" w:styleId="top-sectionleft-box">
    <w:name w:val="top-section_left-box"/>
    <w:basedOn w:val="DefaultParagraphFont"/>
    <w:rPr>
      <w:color w:val="FFFFFF"/>
      <w:shd w:val="clear" w:color="auto" w:fill="1E666F"/>
    </w:rPr>
  </w:style>
  <w:style w:type="paragraph" w:customStyle="1" w:styleId="name-secsection">
    <w:name w:val="name-sec_section"/>
    <w:basedOn w:val="Normal"/>
    <w:pPr>
      <w:pBdr>
        <w:bottom w:val="none" w:sz="0" w:space="0" w:color="auto"/>
      </w:pBdr>
    </w:pPr>
  </w:style>
  <w:style w:type="paragraph" w:customStyle="1" w:styleId="firstparagraph">
    <w:name w:val="firstparagraph"/>
    <w:basedOn w:val="Normal"/>
  </w:style>
  <w:style w:type="paragraph" w:customStyle="1" w:styleId="txt-bold">
    <w:name w:val="txt-bold"/>
    <w:basedOn w:val="Normal"/>
    <w:rPr>
      <w:b/>
      <w:bCs/>
    </w:rPr>
  </w:style>
  <w:style w:type="character" w:customStyle="1" w:styleId="span">
    <w:name w:val="span"/>
    <w:basedOn w:val="DefaultParagraphFont"/>
    <w:rPr>
      <w:bdr w:val="none" w:sz="0" w:space="0" w:color="auto"/>
      <w:vertAlign w:val="baseline"/>
    </w:rPr>
  </w:style>
  <w:style w:type="paragraph" w:customStyle="1" w:styleId="top-sectionleft-boxParagraph">
    <w:name w:val="top-section_left-box Paragraph"/>
    <w:basedOn w:val="Normal"/>
    <w:pPr>
      <w:pBdr>
        <w:top w:val="single" w:sz="40" w:space="23" w:color="1E666F"/>
        <w:bottom w:val="single" w:sz="40" w:space="22" w:color="1E666F"/>
      </w:pBdr>
      <w:shd w:val="clear" w:color="auto" w:fill="1E666F"/>
      <w:jc w:val="left"/>
    </w:pPr>
    <w:rPr>
      <w:color w:val="FFFFFF"/>
      <w:shd w:val="clear" w:color="auto" w:fill="1E666F"/>
    </w:rPr>
  </w:style>
  <w:style w:type="character" w:customStyle="1" w:styleId="top-sectionright-box">
    <w:name w:val="top-section_right-box"/>
    <w:basedOn w:val="DefaultParagraphFont"/>
    <w:rPr>
      <w:shd w:val="clear" w:color="auto" w:fill="FFFFFF"/>
    </w:rPr>
  </w:style>
  <w:style w:type="paragraph" w:customStyle="1" w:styleId="cntc-secsection">
    <w:name w:val="cntc-sec_section"/>
    <w:basedOn w:val="Normal"/>
    <w:pPr>
      <w:pBdr>
        <w:left w:val="none" w:sz="0" w:space="11" w:color="auto"/>
        <w:bottom w:val="none" w:sz="0" w:space="0" w:color="auto"/>
        <w:right w:val="none" w:sz="0" w:space="17" w:color="auto"/>
      </w:pBdr>
      <w:spacing w:line="260" w:lineRule="atLeast"/>
    </w:pPr>
  </w:style>
  <w:style w:type="paragraph" w:customStyle="1" w:styleId="address">
    <w:name w:val="address"/>
    <w:basedOn w:val="Normal"/>
    <w:rPr>
      <w:rFonts w:ascii="Arimo" w:eastAsia="Arimo" w:hAnsi="Arimo" w:cs="Arimo"/>
    </w:rPr>
  </w:style>
  <w:style w:type="paragraph" w:customStyle="1" w:styleId="cntc-secaddressdiv">
    <w:name w:val="cntc-sec_address_div"/>
    <w:basedOn w:val="Normal"/>
    <w:rPr>
      <w:color w:val="000000"/>
    </w:rPr>
  </w:style>
  <w:style w:type="character" w:customStyle="1" w:styleId="txt-boldCharacter">
    <w:name w:val="txt-bold Character"/>
    <w:basedOn w:val="DefaultParagraphFont"/>
    <w:rPr>
      <w:b/>
      <w:bCs/>
    </w:rPr>
  </w:style>
  <w:style w:type="paragraph" w:customStyle="1" w:styleId="cntc-secaddressdivnth-last-child1">
    <w:name w:val="cntc-sec_address_div_nth-last-child(1)"/>
    <w:basedOn w:val="Normal"/>
  </w:style>
  <w:style w:type="paragraph" w:customStyle="1" w:styleId="cntc-secaddressdivnth-last-child1gap-div">
    <w:name w:val="cntc-sec_address_div_nth-last-child(1)_gap-div"/>
    <w:basedOn w:val="Normal"/>
    <w:rPr>
      <w:vanish/>
    </w:rPr>
  </w:style>
  <w:style w:type="table" w:customStyle="1" w:styleId="top-section">
    <w:name w:val="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paragraph" w:customStyle="1" w:styleId="dashed-line">
    <w:name w:val="dashed-line"/>
    <w:basedOn w:val="Normal"/>
    <w:pPr>
      <w:spacing w:line="14" w:lineRule="atLeast"/>
    </w:pPr>
    <w:rPr>
      <w:sz w:val="20"/>
      <w:szCs w:val="20"/>
    </w:rPr>
  </w:style>
  <w:style w:type="character" w:customStyle="1" w:styleId="sectiontitle">
    <w:name w:val="sectiontitle"/>
    <w:basedOn w:val="DefaultParagraphFont"/>
    <w:rPr>
      <w:sz w:val="24"/>
      <w:szCs w:val="24"/>
      <w:shd w:val="clear" w:color="auto" w:fill="FFFFFF"/>
    </w:rPr>
  </w:style>
  <w:style w:type="paragraph" w:customStyle="1" w:styleId="sectiontitleParagraph">
    <w:name w:val="sectiontitle Paragraph"/>
    <w:basedOn w:val="Normal"/>
    <w:pPr>
      <w:pBdr>
        <w:top w:val="none" w:sz="0" w:space="0" w:color="auto"/>
        <w:left w:val="none" w:sz="0" w:space="0" w:color="auto"/>
        <w:bottom w:val="none" w:sz="0" w:space="0" w:color="auto"/>
        <w:right w:val="none" w:sz="0" w:space="3" w:color="auto"/>
      </w:pBdr>
      <w:shd w:val="clear" w:color="auto" w:fill="FFFFFF"/>
      <w:spacing w:line="280" w:lineRule="atLeast"/>
    </w:pPr>
    <w:rPr>
      <w:sz w:val="24"/>
      <w:szCs w:val="24"/>
      <w:shd w:val="clear" w:color="auto" w:fill="FFFFFF"/>
    </w:rPr>
  </w:style>
  <w:style w:type="table" w:customStyle="1" w:styleId="heading">
    <w:name w:val="heading"/>
    <w:basedOn w:val="TableNormal"/>
    <w:tblPr/>
  </w:style>
  <w:style w:type="paragraph" w:customStyle="1" w:styleId="summaryheadinggap-div">
    <w:name w:val="summary_heading + gap-div"/>
    <w:basedOn w:val="Normal"/>
    <w:pPr>
      <w:spacing w:line="160" w:lineRule="atLeast"/>
    </w:pPr>
  </w:style>
  <w:style w:type="paragraph" w:customStyle="1" w:styleId="summarysinglecolumn">
    <w:name w:val="summary_singlecolumn"/>
    <w:basedOn w:val="Normal"/>
    <w:rPr>
      <w:rFonts w:ascii="Arimo" w:eastAsia="Arimo" w:hAnsi="Arimo" w:cs="Arimo"/>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gap-div">
    <w:name w:val="gap-div"/>
    <w:basedOn w:val="Normal"/>
    <w:pPr>
      <w:spacing w:line="240" w:lineRule="atLeast"/>
    </w:pPr>
    <w:rPr>
      <w:sz w:val="2"/>
      <w:szCs w:val="2"/>
    </w:rPr>
  </w:style>
  <w:style w:type="paragraph" w:customStyle="1" w:styleId="headinggap-div">
    <w:name w:val="heading + gap-div"/>
    <w:basedOn w:val="Normal"/>
    <w:pPr>
      <w:spacing w:line="280" w:lineRule="atLeast"/>
    </w:pPr>
  </w:style>
  <w:style w:type="paragraph" w:customStyle="1" w:styleId="two-col-list-wrapperparagraph">
    <w:name w:val="two-col-list-wrapper_paragraph"/>
    <w:basedOn w:val="Normal"/>
  </w:style>
  <w:style w:type="paragraph" w:customStyle="1" w:styleId="singlecolumn">
    <w:name w:val="singlecolumn"/>
    <w:basedOn w:val="Normal"/>
  </w:style>
  <w:style w:type="paragraph" w:customStyle="1" w:styleId="two-col-list-wrapperliasposeli">
    <w:name w:val="two-col-list-wrapper_li_asposeli"/>
    <w:basedOn w:val="Normal"/>
  </w:style>
  <w:style w:type="character" w:customStyle="1" w:styleId="pCharacter">
    <w:name w:val="p Character"/>
    <w:basedOn w:val="DefaultParagraphFont"/>
    <w:rPr>
      <w:bdr w:val="none" w:sz="0" w:space="0" w:color="auto"/>
      <w:vertAlign w:val="baseline"/>
    </w:rPr>
  </w:style>
  <w:style w:type="character" w:customStyle="1" w:styleId="singlecolumnspanpaddedlinenth-child1">
    <w:name w:val="singlecolumn_span_paddedline_nth-child(1)"/>
    <w:basedOn w:val="DefaultParagraphFont"/>
  </w:style>
  <w:style w:type="paragraph" w:customStyle="1" w:styleId="paddedline">
    <w:name w:val="paddedline"/>
    <w:basedOn w:val="Normal"/>
  </w:style>
  <w:style w:type="character" w:customStyle="1" w:styleId="txt-itl">
    <w:name w:val="txt-itl"/>
    <w:basedOn w:val="DefaultParagraphFont"/>
    <w:rPr>
      <w:i/>
      <w:iCs/>
    </w:rPr>
  </w:style>
  <w:style w:type="paragraph" w:customStyle="1" w:styleId="expr-secli">
    <w:name w:val="expr-sec_li"/>
    <w:basedOn w:val="Normal"/>
    <w:rPr>
      <w:rFonts w:ascii="Arimo" w:eastAsia="Arimo" w:hAnsi="Arimo" w:cs="Arimo"/>
    </w:rPr>
  </w:style>
  <w:style w:type="paragraph" w:customStyle="1" w:styleId="linth-last-child1">
    <w:name w:val="li_nth-last-child(1)"/>
    <w:basedOn w:val="Normal"/>
  </w:style>
  <w:style w:type="paragraph" w:customStyle="1" w:styleId="paragraph">
    <w:name w:val="paragraph"/>
    <w:basedOn w:val="Normal"/>
  </w:style>
  <w:style w:type="paragraph" w:customStyle="1" w:styleId="disp-block">
    <w:name w:val="disp-block"/>
    <w:basedOn w:val="Normal"/>
  </w:style>
  <w:style w:type="paragraph" w:customStyle="1" w:styleId="ulli">
    <w:name w:val="ul_li"/>
    <w:basedOn w:val="Normal"/>
    <w:pPr>
      <w:pBdr>
        <w:left w:val="none" w:sz="0" w:space="7" w:color="auto"/>
      </w:pBdr>
    </w:pPr>
  </w:style>
  <w:style w:type="character" w:customStyle="1" w:styleId="sectionrefrenceparagraph">
    <w:name w:val="section_refrence_paragraph"/>
    <w:basedOn w:val="DefaultParagraphFont"/>
  </w:style>
  <w:style w:type="table" w:customStyle="1" w:styleId="sectionrefrencerefparatable">
    <w:name w:val="section_refrence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Kulkarni</dc:title>
  <cp:revision>0</cp:revision>
</cp:coreProperties>
</file>