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1top-sectionleft-box"/>
        <w:tblW w:w="0" w:type="auto"/>
        <w:tblCellSpacing w:w="0" w:type="dxa"/>
        <w:shd w:val="clear" w:color="auto" w:fill="454545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2240"/>
      </w:tblGrid>
      <w:tr>
        <w:tblPrEx>
          <w:tblW w:w="0" w:type="auto"/>
          <w:tblCellSpacing w:w="0" w:type="dxa"/>
          <w:shd w:val="clear" w:color="auto" w:fill="454545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2240" w:type="dxa"/>
            <w:shd w:val="clear" w:color="auto" w:fill="E0A83A"/>
            <w:tcMar>
              <w:top w:w="0" w:type="dxa"/>
              <w:left w:w="0" w:type="dxa"/>
              <w:bottom w:w="420" w:type="dxa"/>
              <w:right w:w="0" w:type="dxa"/>
            </w:tcMar>
            <w:vAlign w:val="center"/>
            <w:hideMark/>
          </w:tcPr>
          <w:p>
            <w:pPr>
              <w:pStyle w:val="skn-mlo1top-sectionleft-boxname-sec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hd w:val="clear" w:color="auto" w:fill="auto"/>
              <w:spacing w:before="0" w:after="0" w:line="20" w:lineRule="atLeast"/>
              <w:ind w:left="0" w:right="0"/>
              <w:textAlignment w:val="auto"/>
              <w:rPr>
                <w:rStyle w:val="skn-mlo1top-sectionleft-boxname-sec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  <w:r>
              <w:pict>
                <v:rect id="_x0000_s1025" style="width:612pt;height:23pt;margin-top:0;margin-left:0;mso-position-horizontal-relative:page;mso-position-vertical-relative:page;position:absolute;z-index:251658240" o:allowincell="f" fillcolor="#e0a83a" stroked="f">
                  <v:path strokeok="f"/>
                </v:rect>
              </w:pict>
            </w:r>
            <w:r>
              <w:pict>
                <v:rect id="_x0000_s1026" style="width:226pt;height:11in;margin-top:0;margin-left:386pt;mso-position-horizontal-relative:page;mso-position-vertical-relative:page;position:absolute;z-index:-251657216" o:allowincell="f" fillcolor="#f9f9f9" stroked="f">
                  <v:path strokeok="f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mlo1mid-section"/>
        <w:tblW w:w="0" w:type="auto"/>
        <w:tblCellSpacing w:w="0" w:type="dxa"/>
        <w:tblInd w:w="0" w:type="dxa"/>
        <w:tblLayout w:type="fixed"/>
        <w:tblCellMar>
          <w:top w:w="0" w:type="dxa"/>
          <w:left w:w="340" w:type="dxa"/>
          <w:bottom w:w="0" w:type="dxa"/>
          <w:right w:w="0" w:type="dxa"/>
        </w:tblCellMar>
        <w:tblLook w:val="05E0"/>
      </w:tblPr>
      <w:tblGrid>
        <w:gridCol w:w="7720"/>
        <w:gridCol w:w="452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34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720" w:type="dxa"/>
            <w:tcMar>
              <w:top w:w="0" w:type="dxa"/>
              <w:left w:w="0" w:type="dxa"/>
              <w:bottom w:w="0" w:type="dxa"/>
              <w:right w:w="480" w:type="dxa"/>
            </w:tcMar>
            <w:vAlign w:val="top"/>
            <w:hideMark/>
          </w:tcPr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80" w:after="240"/>
              <w:ind w:left="340" w:right="0"/>
              <w:rPr>
                <w:rStyle w:val="skn-mlo1mid-sectionleft-box"/>
                <w:rFonts w:ascii="Nunito Sans" w:eastAsia="Nunito Sans" w:hAnsi="Nunito Sans" w:cs="Nunito Sans"/>
                <w:b/>
                <w:bCs/>
                <w:caps/>
                <w:color w:val="E0A83A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Nunito Sans" w:eastAsia="Nunito Sans" w:hAnsi="Nunito Sans" w:cs="Nunito Sans"/>
                <w:b/>
                <w:bCs/>
                <w:caps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60" w:lineRule="atLeast"/>
              <w:ind w:left="340" w:right="0"/>
              <w:rPr>
                <w:rStyle w:val="skn-mlo1mid-sectionleft-box"/>
                <w:rFonts w:ascii="Nunito Sans" w:eastAsia="Nunito Sans" w:hAnsi="Nunito Sans" w:cs="Nunito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Nunito Sans" w:eastAsia="Nunito Sans" w:hAnsi="Nunito Sans" w:cs="Nunito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Experienced Speech Pathologist skilled in conducting comprehensive speech assessments and developing personalized therapy plans. Proven expertise in patient counseling and progress evaluation, with a focus on language therapy and swallowing disorders. Seeking to leverage clinical skills and therapeutic experience to excel as a Senior Radiology Technologist in a dynamic healthcare environment.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Nunito Sans" w:eastAsia="Nunito Sans" w:hAnsi="Nunito Sans" w:cs="Nunito Sans"/>
                <w:b/>
                <w:bCs/>
                <w:caps/>
                <w:color w:val="E0A83A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Nunito Sans" w:eastAsia="Nunito Sans" w:hAnsi="Nunito Sans" w:cs="Nunito Sans"/>
                <w:b/>
                <w:bCs/>
                <w:caps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skn-mlo1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340" w:right="0"/>
              <w:rPr>
                <w:rStyle w:val="skn-mlo1mid-sectionleft-box"/>
                <w:rFonts w:ascii="Nunito Sans" w:eastAsia="Nunito Sans" w:hAnsi="Nunito Sans" w:cs="Nunito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Nunito Sans" w:eastAsia="Nunito Sans" w:hAnsi="Nunito Sans" w:cs="Nunito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Senior Speech Pathologist</w:t>
            </w:r>
          </w:p>
          <w:p>
            <w:pPr>
              <w:pStyle w:val="skn-mlo1disp-block"/>
              <w:spacing w:before="0" w:after="0" w:line="300" w:lineRule="atLeast"/>
              <w:ind w:left="340" w:right="0"/>
              <w:rPr>
                <w:rStyle w:val="skn-mlo1mid-sectionleft-box"/>
                <w:rFonts w:ascii="Nunito Sans" w:eastAsia="Nunito Sans" w:hAnsi="Nunito Sans" w:cs="Nunito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E0A83A"/>
                <w:sz w:val="22"/>
                <w:szCs w:val="22"/>
              </w:rPr>
              <w:t>July 2019</w:t>
            </w:r>
            <w:r>
              <w:rPr>
                <w:rStyle w:val="span"/>
                <w:rFonts w:ascii="Nunito Sans" w:eastAsia="Nunito Sans" w:hAnsi="Nunito Sans" w:cs="Nunito Sans"/>
                <w:color w:val="E0A83A"/>
                <w:sz w:val="22"/>
                <w:szCs w:val="22"/>
              </w:rPr>
              <w:t xml:space="preserve"> - </w:t>
            </w:r>
            <w:r>
              <w:rPr>
                <w:rStyle w:val="span"/>
                <w:rFonts w:ascii="Nunito Sans" w:eastAsia="Nunito Sans" w:hAnsi="Nunito Sans" w:cs="Nunito Sans"/>
                <w:color w:val="E0A83A"/>
                <w:sz w:val="22"/>
                <w:szCs w:val="22"/>
              </w:rPr>
              <w:t>Present</w:t>
            </w:r>
            <w:r>
              <w:rPr>
                <w:rStyle w:val="skn-mlo1sprtr"/>
              </w:rPr>
              <w:t>│</w:t>
            </w:r>
            <w:r>
              <w:rPr>
                <w:rStyle w:val="span"/>
                <w:rFonts w:ascii="Nunito Sans" w:eastAsia="Nunito Sans" w:hAnsi="Nunito Sans" w:cs="Nunito Sans"/>
                <w:color w:val="050505"/>
                <w:sz w:val="22"/>
                <w:szCs w:val="22"/>
              </w:rPr>
              <w:t>Harmony Rehabilitation Centre</w:t>
            </w:r>
            <w:r>
              <w:rPr>
                <w:rStyle w:val="span"/>
                <w:rFonts w:ascii="Nunito Sans" w:eastAsia="Nunito Sans" w:hAnsi="Nunito Sans" w:cs="Nunito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Nunito Sans" w:eastAsia="Nunito Sans" w:hAnsi="Nunito Sans" w:cs="Nunito Sans"/>
                <w:color w:val="050505"/>
                <w:sz w:val="22"/>
                <w:szCs w:val="22"/>
              </w:rPr>
              <w:t>Bengaluru</w:t>
            </w:r>
            <w:r>
              <w:rPr>
                <w:rStyle w:val="skn-mlo1mid-sectionleft-box"/>
                <w:rFonts w:ascii="Nunito Sans" w:eastAsia="Nunito Sans" w:hAnsi="Nunito Sans" w:cs="Nunito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80" w:lineRule="atLeast"/>
              <w:ind w:left="900" w:right="0" w:hanging="372"/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Conducted speech and language assessments for diverse age groups.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80" w:lineRule="atLeast"/>
              <w:ind w:left="900" w:right="0" w:hanging="372"/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Developed personalized therapy plans for patients.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80" w:lineRule="atLeast"/>
              <w:ind w:left="900" w:right="0" w:hanging="372"/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Provided speech and swallowing therapy sessions.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80" w:lineRule="atLeast"/>
              <w:ind w:left="900" w:right="0" w:hanging="372"/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Tracked patient progress using standardized tools.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80" w:lineRule="atLeast"/>
              <w:ind w:left="900" w:right="0" w:hanging="372"/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Educated caregivers on home therapy exercises.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80" w:lineRule="atLeast"/>
              <w:ind w:left="900" w:right="0" w:hanging="372"/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Coordinated with doctors and psychologists.</w:t>
            </w:r>
          </w:p>
          <w:p>
            <w:pPr>
              <w:pStyle w:val="skn-mlo1txt-bold"/>
              <w:pBdr>
                <w:top w:val="none" w:sz="0" w:space="1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340" w:right="0"/>
              <w:rPr>
                <w:rStyle w:val="skn-mlo1mid-sectionleft-box"/>
                <w:rFonts w:ascii="Nunito Sans" w:eastAsia="Nunito Sans" w:hAnsi="Nunito Sans" w:cs="Nunito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Nunito Sans" w:eastAsia="Nunito Sans" w:hAnsi="Nunito Sans" w:cs="Nunito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Speech Pathologist</w:t>
            </w:r>
          </w:p>
          <w:p>
            <w:pPr>
              <w:pStyle w:val="skn-mlo1disp-block"/>
              <w:spacing w:before="0" w:after="0" w:line="300" w:lineRule="atLeast"/>
              <w:ind w:left="340" w:right="0"/>
              <w:rPr>
                <w:rStyle w:val="skn-mlo1mid-sectionleft-box"/>
                <w:rFonts w:ascii="Nunito Sans" w:eastAsia="Nunito Sans" w:hAnsi="Nunito Sans" w:cs="Nunito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E0A83A"/>
                <w:sz w:val="22"/>
                <w:szCs w:val="22"/>
              </w:rPr>
              <w:t>January 2016</w:t>
            </w:r>
            <w:r>
              <w:rPr>
                <w:rStyle w:val="span"/>
                <w:rFonts w:ascii="Nunito Sans" w:eastAsia="Nunito Sans" w:hAnsi="Nunito Sans" w:cs="Nunito Sans"/>
                <w:color w:val="E0A83A"/>
                <w:sz w:val="22"/>
                <w:szCs w:val="22"/>
              </w:rPr>
              <w:t xml:space="preserve"> - </w:t>
            </w:r>
            <w:r>
              <w:rPr>
                <w:rStyle w:val="span"/>
                <w:rFonts w:ascii="Nunito Sans" w:eastAsia="Nunito Sans" w:hAnsi="Nunito Sans" w:cs="Nunito Sans"/>
                <w:color w:val="E0A83A"/>
                <w:sz w:val="22"/>
                <w:szCs w:val="22"/>
              </w:rPr>
              <w:t>June 2019</w:t>
            </w:r>
            <w:r>
              <w:rPr>
                <w:rStyle w:val="skn-mlo1sprtr"/>
              </w:rPr>
              <w:t>│</w:t>
            </w:r>
            <w:r>
              <w:rPr>
                <w:rStyle w:val="span"/>
                <w:rFonts w:ascii="Nunito Sans" w:eastAsia="Nunito Sans" w:hAnsi="Nunito Sans" w:cs="Nunito Sans"/>
                <w:color w:val="050505"/>
                <w:sz w:val="22"/>
                <w:szCs w:val="22"/>
              </w:rPr>
              <w:t>Sunrise Multispeciality Hospital</w:t>
            </w:r>
            <w:r>
              <w:rPr>
                <w:rStyle w:val="span"/>
                <w:rFonts w:ascii="Nunito Sans" w:eastAsia="Nunito Sans" w:hAnsi="Nunito Sans" w:cs="Nunito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Nunito Sans" w:eastAsia="Nunito Sans" w:hAnsi="Nunito Sans" w:cs="Nunito Sans"/>
                <w:color w:val="050505"/>
                <w:sz w:val="22"/>
                <w:szCs w:val="22"/>
              </w:rPr>
              <w:t>Mysuru</w:t>
            </w:r>
            <w:r>
              <w:rPr>
                <w:rStyle w:val="skn-mlo1mid-sectionleft-box"/>
                <w:rFonts w:ascii="Nunito Sans" w:eastAsia="Nunito Sans" w:hAnsi="Nunito Sans" w:cs="Nunito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80" w:lineRule="atLeast"/>
              <w:ind w:left="900" w:right="0" w:hanging="372"/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Assessed speech and language disorders accurately.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80" w:lineRule="atLeast"/>
              <w:ind w:left="900" w:right="0" w:hanging="372"/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Delivered therapy sessions for pediatric patients.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80" w:lineRule="atLeast"/>
              <w:ind w:left="900" w:right="0" w:hanging="372"/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Maintained detailed clinical documentation.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80" w:lineRule="atLeast"/>
              <w:ind w:left="900" w:right="0" w:hanging="372"/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Monitored therapy outcomes regularly.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80" w:lineRule="atLeast"/>
              <w:ind w:left="900" w:right="0" w:hanging="372"/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Assisted in multidisciplinary case discussions.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80" w:lineRule="atLeast"/>
              <w:ind w:left="900" w:right="0" w:hanging="372"/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Ensured ethical and patient-centered care.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Nunito Sans" w:eastAsia="Nunito Sans" w:hAnsi="Nunito Sans" w:cs="Nunito Sans"/>
                <w:b/>
                <w:bCs/>
                <w:caps/>
                <w:color w:val="E0A83A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Nunito Sans" w:eastAsia="Nunito Sans" w:hAnsi="Nunito Sans" w:cs="Nunito Sans"/>
                <w:b/>
                <w:bCs/>
                <w:caps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340" w:right="0"/>
              <w:rPr>
                <w:rStyle w:val="skn-mlo1mid-sectionleft-box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b/>
                <w:bCs/>
                <w:color w:val="050505"/>
                <w:sz w:val="22"/>
                <w:szCs w:val="22"/>
              </w:rPr>
              <w:t>Bachelor of Audiology and Speech Language Pathology</w:t>
            </w:r>
            <w:r>
              <w:rPr>
                <w:rStyle w:val="skn-mlo1txt-boldCharacter"/>
                <w:rFonts w:ascii="Nunito Sans" w:eastAsia="Nunito Sans" w:hAnsi="Nunito Sans" w:cs="Nunito Sans"/>
                <w:b/>
                <w:bCs/>
                <w:color w:val="050505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Nunito Sans" w:eastAsia="Nunito Sans" w:hAnsi="Nunito Sans" w:cs="Nunito Sans"/>
                <w:b/>
                <w:bCs/>
                <w:color w:val="050505"/>
                <w:sz w:val="22"/>
                <w:szCs w:val="22"/>
              </w:rPr>
              <w:t>in</w:t>
            </w:r>
            <w:r>
              <w:rPr>
                <w:rStyle w:val="skn-mlo1txt-boldCharacter"/>
                <w:rFonts w:ascii="Nunito Sans" w:eastAsia="Nunito Sans" w:hAnsi="Nunito Sans" w:cs="Nunito Sans"/>
                <w:b/>
                <w:bCs/>
                <w:color w:val="050505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Nunito Sans" w:eastAsia="Nunito Sans" w:hAnsi="Nunito Sans" w:cs="Nunito Sans"/>
                <w:b/>
                <w:bCs/>
                <w:color w:val="050505"/>
                <w:sz w:val="22"/>
                <w:szCs w:val="22"/>
              </w:rPr>
              <w:t>Speech and Language Pathology</w:t>
            </w:r>
            <w:r>
              <w:rPr>
                <w:rStyle w:val="skn-mlo1txt-boldCharacter"/>
                <w:rFonts w:ascii="Nunito Sans" w:eastAsia="Nunito Sans" w:hAnsi="Nunito Sans" w:cs="Nunito Sans"/>
                <w:b/>
                <w:bCs/>
                <w:color w:val="050505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</w:rPr>
              <w:t>All India Institute of Speech and Hearing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Nunito Sans" w:eastAsia="Nunito Sans" w:hAnsi="Nunito Sans" w:cs="Nunito Sans"/>
                <w:b/>
                <w:bCs/>
                <w:caps/>
                <w:color w:val="E0A83A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Nunito Sans" w:eastAsia="Nunito Sans" w:hAnsi="Nunito Sans" w:cs="Nunito Sans"/>
                <w:b/>
                <w:bCs/>
                <w:caps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p"/>
              <w:numPr>
                <w:ilvl w:val="0"/>
                <w:numId w:val="3"/>
              </w:numPr>
              <w:spacing w:before="80" w:after="0" w:line="280" w:lineRule="atLeast"/>
              <w:ind w:left="900" w:right="0" w:hanging="372"/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Registered Speech Language Pathologist – RCI</w:t>
            </w:r>
          </w:p>
          <w:p>
            <w:pPr>
              <w:pStyle w:val="p"/>
              <w:numPr>
                <w:ilvl w:val="0"/>
                <w:numId w:val="3"/>
              </w:numPr>
              <w:spacing w:before="80" w:after="0" w:line="280" w:lineRule="atLeast"/>
              <w:ind w:left="900" w:right="0" w:hanging="372"/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Clinical Swallowing Therapy Certification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Nunito Sans" w:eastAsia="Nunito Sans" w:hAnsi="Nunito Sans" w:cs="Nunito Sans"/>
                <w:b/>
                <w:bCs/>
                <w:caps/>
                <w:color w:val="E0A83A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Nunito Sans" w:eastAsia="Nunito Sans" w:hAnsi="Nunito Sans" w:cs="Nunito Sans"/>
                <w:b/>
                <w:bCs/>
                <w:caps/>
                <w:bdr w:val="none" w:sz="0" w:space="0" w:color="auto"/>
                <w:vertAlign w:val="baseline"/>
              </w:rPr>
              <w:t>Personal Information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40" w:right="0"/>
              <w:rPr>
                <w:rStyle w:val="skn-mlo1mid-sectionleft-box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Gender: Female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Nunito Sans" w:eastAsia="Nunito Sans" w:hAnsi="Nunito Sans" w:cs="Nunito Sans"/>
                <w:b/>
                <w:bCs/>
                <w:caps/>
                <w:color w:val="E0A83A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Nunito Sans" w:eastAsia="Nunito Sans" w:hAnsi="Nunito Sans" w:cs="Nunito Sans"/>
                <w:b/>
                <w:bCs/>
                <w:caps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40" w:right="0"/>
              <w:rPr>
                <w:rStyle w:val="skn-mlo1mid-sectionleft-box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Early Intervention Program for Speech Delay in Children. Adult Aphasia Rehabilitation Outcome Study.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Nunito Sans" w:eastAsia="Nunito Sans" w:hAnsi="Nunito Sans" w:cs="Nunito Sans"/>
                <w:b/>
                <w:bCs/>
                <w:caps/>
                <w:color w:val="E0A83A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Nunito Sans" w:eastAsia="Nunito Sans" w:hAnsi="Nunito Sans" w:cs="Nunito Sans"/>
                <w:b/>
                <w:bCs/>
                <w:caps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skn-mlo1sectionreference-secparagraphref-upon-reque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40" w:right="0"/>
              <w:textAlignment w:val="top"/>
              <w:rPr>
                <w:rStyle w:val="skn-mlo1mid-sectionleft-box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</w:rPr>
              <w:t>References available upon request</w:t>
            </w:r>
          </w:p>
          <w:p>
            <w:pPr>
              <w:pStyle w:val="skn-mlo1mid-sectionleft-boxParagraph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exact"/>
              <w:ind w:left="340" w:right="0"/>
              <w:textAlignment w:val="auto"/>
              <w:rPr>
                <w:rStyle w:val="skn-mlo1mid-sectionleft-box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520" w:type="dxa"/>
            <w:tcMar>
              <w:top w:w="0" w:type="dxa"/>
              <w:left w:w="0" w:type="dxa"/>
              <w:bottom w:w="0" w:type="dxa"/>
              <w:right w:w="34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80" w:line="280" w:lineRule="atLeast"/>
              <w:ind w:left="340" w:right="0"/>
              <w:rPr>
                <w:rStyle w:val="skn-mlo1mid-sectionright-box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right-box"/>
                <w:rFonts w:ascii="Nunito Sans" w:eastAsia="Nunito Sans" w:hAnsi="Nunito Sans" w:cs="Nunito Sans"/>
                <w:strike w:val="0"/>
                <w:color w:val="050505"/>
                <w:sz w:val="20"/>
                <w:szCs w:val="20"/>
                <w:u w:val="none"/>
              </w:rPr>
              <w:drawing>
                <wp:inline>
                  <wp:extent cx="990600" cy="990600"/>
                  <wp:docPr id="100001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skn-mlo1mid-sectionright-box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pict>
                <v:oval id="_x0000_s1027" style="width:70pt;height:70pt;margin-top:17pt;margin-left:19pt;position:absolute;z-index:251660288" stroked="f"/>
              </w:pict>
            </w:r>
            <w:r>
              <w:pict>
                <v:oval id="_x0000_s1028" style="width:64pt;height:64pt;margin-top:20pt;margin-left:22pt;position:absolute;z-index:251661312" filled="t" stroked="f">
                  <v:fill r:id="rId5" o:title="" type="frame"/>
                </v:oval>
              </w:pic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340" w:right="0"/>
              <w:rPr>
                <w:rStyle w:val="skn-mlo1mid-sectionright-box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240"/>
              <w:ind w:left="340" w:right="0"/>
              <w:rPr>
                <w:rStyle w:val="skn-mlo1mid-sectionright-box"/>
                <w:rFonts w:ascii="Nunito Sans" w:eastAsia="Nunito Sans" w:hAnsi="Nunito Sans" w:cs="Nunito Sans"/>
                <w:b/>
                <w:bCs/>
                <w:caps/>
                <w:color w:val="E0A83A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right-box"/>
                <w:rFonts w:ascii="Nunito Sans" w:eastAsia="Nunito Sans" w:hAnsi="Nunito Sans" w:cs="Nunito Sans"/>
                <w:b/>
                <w:bCs/>
                <w:caps/>
                <w:bdr w:val="none" w:sz="0" w:space="0" w:color="auto"/>
                <w:vertAlign w:val="baseline"/>
              </w:rPr>
              <w:t>Contact</w:t>
            </w:r>
          </w:p>
          <w:tbl>
            <w:tblPr>
              <w:tblStyle w:val="skn-mlo1icon-row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Nunito Sans" w:eastAsia="Nunito Sans" w:hAnsi="Nunito Sans" w:cs="Nunito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Nunito Sans" w:eastAsia="Nunito Sans" w:hAnsi="Nunito Sans" w:cs="Nunito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Nunito Sans" w:eastAsia="Nunito Sans" w:hAnsi="Nunito Sans" w:cs="Nunito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Nunito Sans" w:eastAsia="Nunito Sans" w:hAnsi="Nunito Sans" w:cs="Nunito Sans"/>
                      <w:color w:val="050505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o1ico-txt"/>
                      <w:rFonts w:ascii="Nunito Sans" w:eastAsia="Nunito Sans" w:hAnsi="Nunito Sans" w:cs="Nunito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1icon-row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Nunito Sans" w:eastAsia="Nunito Sans" w:hAnsi="Nunito Sans" w:cs="Nunito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Nunito Sans" w:eastAsia="Nunito Sans" w:hAnsi="Nunito Sans" w:cs="Nunito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Nunito Sans" w:eastAsia="Nunito Sans" w:hAnsi="Nunito Sans" w:cs="Nunito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Nunito Sans" w:eastAsia="Nunito Sans" w:hAnsi="Nunito Sans" w:cs="Nunito Sans"/>
                      <w:color w:val="050505"/>
                      <w:sz w:val="20"/>
                      <w:szCs w:val="20"/>
                    </w:rPr>
                    <w:t>ananya.kulkarni@example.com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1icon-row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Nunito Sans" w:eastAsia="Nunito Sans" w:hAnsi="Nunito Sans" w:cs="Nunito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Nunito Sans" w:eastAsia="Nunito Sans" w:hAnsi="Nunito Sans" w:cs="Nunito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Nunito Sans" w:eastAsia="Nunito Sans" w:hAnsi="Nunito Sans" w:cs="Nunito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Nunito Sans" w:eastAsia="Nunito Sans" w:hAnsi="Nunito Sans" w:cs="Nunito Sans"/>
                      <w:color w:val="050505"/>
                      <w:sz w:val="20"/>
                      <w:szCs w:val="20"/>
                    </w:rPr>
                    <w:t>Bengaluru</w:t>
                  </w:r>
                  <w:r>
                    <w:rPr>
                      <w:rStyle w:val="span"/>
                      <w:rFonts w:ascii="Nunito Sans" w:eastAsia="Nunito Sans" w:hAnsi="Nunito Sans" w:cs="Nunito Sans"/>
                      <w:color w:val="050505"/>
                      <w:sz w:val="20"/>
                      <w:szCs w:val="20"/>
                    </w:rPr>
                    <w:t>,</w:t>
                  </w:r>
                  <w:r>
                    <w:rPr>
                      <w:rStyle w:val="skn-mlo1ico-txt"/>
                      <w:rFonts w:ascii="Nunito Sans" w:eastAsia="Nunito Sans" w:hAnsi="Nunito Sans" w:cs="Nunito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Nunito Sans" w:eastAsia="Nunito Sans" w:hAnsi="Nunito Sans" w:cs="Nunito Sans"/>
                      <w:color w:val="050505"/>
                      <w:sz w:val="20"/>
                      <w:szCs w:val="20"/>
                    </w:rPr>
                    <w:t>Karnataka</w:t>
                  </w:r>
                  <w:r>
                    <w:rPr>
                      <w:rStyle w:val="skn-mlo1ico-txt"/>
                      <w:rFonts w:ascii="Nunito Sans" w:eastAsia="Nunito Sans" w:hAnsi="Nunito Sans" w:cs="Nunito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Nunito Sans" w:eastAsia="Nunito Sans" w:hAnsi="Nunito Sans" w:cs="Nunito Sans"/>
                      <w:color w:val="050505"/>
                      <w:sz w:val="20"/>
                      <w:szCs w:val="20"/>
                    </w:rPr>
                    <w:t>560038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1icon-rownth-last-child1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Nunito Sans" w:eastAsia="Nunito Sans" w:hAnsi="Nunito Sans" w:cs="Nunito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Nunito Sans" w:eastAsia="Nunito Sans" w:hAnsi="Nunito Sans" w:cs="Nunito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1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Nunito Sans" w:eastAsia="Nunito Sans" w:hAnsi="Nunito Sans" w:cs="Nunito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Nunito Sans" w:eastAsia="Nunito Sans" w:hAnsi="Nunito Sans" w:cs="Nunito Sans"/>
                      <w:color w:val="050505"/>
                      <w:sz w:val="20"/>
                      <w:szCs w:val="20"/>
                    </w:rPr>
                    <w:t>18 March 1992</w:t>
                  </w:r>
                </w:p>
              </w:tc>
            </w:tr>
          </w:tbl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right-box"/>
                <w:rFonts w:ascii="Nunito Sans" w:eastAsia="Nunito Sans" w:hAnsi="Nunito Sans" w:cs="Nunito Sans"/>
                <w:b/>
                <w:bCs/>
                <w:caps/>
                <w:color w:val="E0A83A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right-box"/>
                <w:rFonts w:ascii="Nunito Sans" w:eastAsia="Nunito Sans" w:hAnsi="Nunito Sans" w:cs="Nunito Sans"/>
                <w:b/>
                <w:bCs/>
                <w:caps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p"/>
              <w:numPr>
                <w:ilvl w:val="0"/>
                <w:numId w:val="4"/>
              </w:numPr>
              <w:spacing w:before="80" w:after="0" w:line="280" w:lineRule="atLeast"/>
              <w:ind w:left="900" w:right="0" w:hanging="372"/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Speech Assessment</w:t>
            </w:r>
          </w:p>
          <w:p>
            <w:pPr>
              <w:pStyle w:val="p"/>
              <w:numPr>
                <w:ilvl w:val="0"/>
                <w:numId w:val="4"/>
              </w:numPr>
              <w:spacing w:before="80" w:after="0" w:line="280" w:lineRule="atLeast"/>
              <w:ind w:left="900" w:right="0" w:hanging="372"/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Language Therapy</w:t>
            </w:r>
          </w:p>
          <w:p>
            <w:pPr>
              <w:pStyle w:val="p"/>
              <w:numPr>
                <w:ilvl w:val="0"/>
                <w:numId w:val="4"/>
              </w:numPr>
              <w:spacing w:before="80" w:after="0" w:line="280" w:lineRule="atLeast"/>
              <w:ind w:left="900" w:right="0" w:hanging="372"/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Swallowing Disorders</w:t>
            </w:r>
          </w:p>
          <w:p>
            <w:pPr>
              <w:pStyle w:val="p"/>
              <w:numPr>
                <w:ilvl w:val="0"/>
                <w:numId w:val="4"/>
              </w:numPr>
              <w:spacing w:before="80" w:after="0" w:line="280" w:lineRule="atLeast"/>
              <w:ind w:left="900" w:right="0" w:hanging="372"/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Patient Counseling</w:t>
            </w:r>
          </w:p>
          <w:p>
            <w:pPr>
              <w:pStyle w:val="p"/>
              <w:numPr>
                <w:ilvl w:val="0"/>
                <w:numId w:val="4"/>
              </w:numPr>
              <w:spacing w:before="80" w:after="0" w:line="280" w:lineRule="atLeast"/>
              <w:ind w:left="900" w:right="0" w:hanging="372"/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Therapy Planning</w:t>
            </w:r>
          </w:p>
          <w:p>
            <w:pPr>
              <w:pStyle w:val="p"/>
              <w:numPr>
                <w:ilvl w:val="0"/>
                <w:numId w:val="4"/>
              </w:numPr>
              <w:spacing w:before="80" w:after="0" w:line="280" w:lineRule="atLeast"/>
              <w:ind w:left="900" w:right="0" w:hanging="372"/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Clinical Documentation</w:t>
            </w:r>
          </w:p>
          <w:p>
            <w:pPr>
              <w:pStyle w:val="p"/>
              <w:numPr>
                <w:ilvl w:val="0"/>
                <w:numId w:val="4"/>
              </w:numPr>
              <w:spacing w:before="80" w:after="0" w:line="280" w:lineRule="atLeast"/>
              <w:ind w:left="900" w:right="0" w:hanging="372"/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Nunito Sans" w:eastAsia="Nunito Sans" w:hAnsi="Nunito Sans" w:cs="Nunito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Progress Evaluation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Nunito Sans" w:eastAsia="Nunito Sans" w:hAnsi="Nunito Sans" w:cs="Nunito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  <w:r>
        <w:pict>
          <v:rect id="_x0000_s1029" style="width:226pt;height:746pt;margin-top:23pt;margin-left:386pt;mso-position-horizontal-relative:page;mso-position-vertical-relative:page;position:absolute;z-index:-251654144" o:allowincell="f" filled="t" fillcolor="this" stroked="f">
            <v:fill opacity="0"/>
            <v:path strokeok="f"/>
          </v:rect>
        </w:pict>
      </w:r>
    </w:p>
    <w:sectPr>
      <w:headerReference w:type="default" r:id="rId10"/>
      <w:pgSz w:w="12240" w:h="15840"/>
      <w:pgMar w:top="460" w:right="0" w:bottom="46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charset w:val="00"/>
    <w:family w:val="auto"/>
    <w:pitch w:val="default"/>
  </w:font>
  <w:font w:name="Courier New">
    <w:charset w:val="00"/>
    <w:family w:val="auto"/>
    <w:pitch w:val="default"/>
  </w:font>
  <w:font w:name="Nunito Sans">
    <w:charset w:val="00"/>
    <w:family w:val="auto"/>
    <w:pitch w:val="default"/>
    <w:sig w:usb0="00000000" w:usb1="00000000" w:usb2="00000000" w:usb3="00000000" w:csb0="00000001" w:csb1="00000000"/>
    <w:embedRegular r:id="rId1" w:fontKey="{262D03BA-5E67-485C-889F-F3581E5D4B60}"/>
    <w:embedBold r:id="rId2" w:fontKey="{7981C6DF-EAE2-4F0A-B83F-B32864F327D8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26pt;height:11in;margin-top:0;margin-left:386pt;mso-position-horizontal-relative:page;mso-position-vertical-relative:page;position:absolute;z-index:-251658240" o:allowincell="f" fillcolor="#f9f9f9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1pagesize">
    <w:name w:val="skn-mlo1_pagesize"/>
    <w:basedOn w:val="Normal"/>
  </w:style>
  <w:style w:type="paragraph" w:customStyle="1" w:styleId="skn-mlo1top-section">
    <w:name w:val="skn-mlo1_top-section"/>
    <w:basedOn w:val="Normal"/>
    <w:pPr>
      <w:shd w:val="clear" w:color="auto" w:fill="454545"/>
    </w:pPr>
    <w:rPr>
      <w:shd w:val="clear" w:color="auto" w:fill="454545"/>
    </w:rPr>
  </w:style>
  <w:style w:type="character" w:customStyle="1" w:styleId="skn-mlo1top-sectionleft-boxname-sec">
    <w:name w:val="skn-mlo1_top-section_left-box_name-sec"/>
    <w:basedOn w:val="DefaultParagraphFont"/>
    <w:rPr>
      <w:shd w:val="clear" w:color="auto" w:fill="E0A83A"/>
    </w:rPr>
  </w:style>
  <w:style w:type="paragraph" w:customStyle="1" w:styleId="skn-mlo1top-sectionleft-boxname-secdiv">
    <w:name w:val="skn-mlo1_top-section_left-box_name-sec &gt; div"/>
    <w:basedOn w:val="Normal"/>
    <w:pPr>
      <w:pBdr>
        <w:left w:val="none" w:sz="0" w:space="18" w:color="auto"/>
        <w:right w:val="none" w:sz="0" w:space="18" w:color="auto"/>
      </w:pBdr>
    </w:pPr>
  </w:style>
  <w:style w:type="paragraph" w:customStyle="1" w:styleId="skn-mlo1top-sectionleft-boxname-secParagraph">
    <w:name w:val="skn-mlo1_top-section_left-box_name-sec Paragraph"/>
    <w:basedOn w:val="Normal"/>
    <w:pPr>
      <w:pBdr>
        <w:top w:val="none" w:sz="0" w:space="0" w:color="auto"/>
        <w:left w:val="none" w:sz="0" w:space="0" w:color="auto"/>
        <w:bottom w:val="none" w:sz="0" w:space="21" w:color="auto"/>
        <w:right w:val="none" w:sz="0" w:space="0" w:color="auto"/>
      </w:pBdr>
      <w:shd w:val="clear" w:color="auto" w:fill="E0A83A"/>
      <w:jc w:val="center"/>
      <w:textAlignment w:val="center"/>
    </w:pPr>
    <w:rPr>
      <w:shd w:val="clear" w:color="auto" w:fill="E0A83A"/>
    </w:rPr>
  </w:style>
  <w:style w:type="table" w:customStyle="1" w:styleId="skn-mlo1top-sectionleft-box">
    <w:name w:val="skn-mlo1_top-section_left-box"/>
    <w:basedOn w:val="TableNormal"/>
    <w:tblPr/>
  </w:style>
  <w:style w:type="character" w:customStyle="1" w:styleId="skn-mlo1mid-sectionleft-box">
    <w:name w:val="skn-mlo1_mid-section_left-box"/>
    <w:basedOn w:val="DefaultParagraphFont"/>
  </w:style>
  <w:style w:type="paragraph" w:customStyle="1" w:styleId="skn-mlo1mid-sectionleft-boxsectionnth-child1">
    <w:name w:val="skn-mlo1_mid-section_left-box_section_nth-child(1)"/>
    <w:basedOn w:val="Normal"/>
  </w:style>
  <w:style w:type="paragraph" w:customStyle="1" w:styleId="skn-mlo1heading">
    <w:name w:val="skn-mlo1_heading"/>
    <w:basedOn w:val="Normal"/>
  </w:style>
  <w:style w:type="paragraph" w:customStyle="1" w:styleId="skn-mlo1sectiontitle">
    <w:name w:val="skn-mlo1_sectiontitle"/>
    <w:basedOn w:val="Normal"/>
    <w:pPr>
      <w:spacing w:line="320" w:lineRule="atLeast"/>
    </w:pPr>
    <w:rPr>
      <w:b/>
      <w:bCs/>
      <w:caps/>
      <w:color w:val="E0A83A"/>
      <w:spacing w:val="12"/>
      <w:sz w:val="24"/>
      <w:szCs w:val="24"/>
    </w:rPr>
  </w:style>
  <w:style w:type="paragraph" w:customStyle="1" w:styleId="skn-mlo1mid-sectionleft-boxparagraph">
    <w:name w:val="skn-mlo1_mid-section_left-box_paragraph"/>
    <w:basedOn w:val="Normal"/>
    <w:pPr>
      <w:pBdr>
        <w:left w:val="none" w:sz="0" w:space="0" w:color="auto"/>
      </w:pBdr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1mid-sectionsection">
    <w:name w:val="skn-mlo1_mid-section_section"/>
    <w:basedOn w:val="Normal"/>
  </w:style>
  <w:style w:type="paragraph" w:customStyle="1" w:styleId="skn-mlo1txt-bold">
    <w:name w:val="skn-mlo1_txt-bold"/>
    <w:basedOn w:val="Normal"/>
    <w:rPr>
      <w:b/>
      <w:bCs/>
    </w:rPr>
  </w:style>
  <w:style w:type="paragraph" w:customStyle="1" w:styleId="skn-mlo1disp-block">
    <w:name w:val="skn-mlo1_disp-block"/>
    <w:basedOn w:val="Normal"/>
  </w:style>
  <w:style w:type="character" w:customStyle="1" w:styleId="skn-mlo1clr-pickr">
    <w:name w:val="skn-mlo1_clr-pickr"/>
    <w:basedOn w:val="DefaultParagraphFont"/>
    <w:rPr>
      <w:color w:val="E0A83A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skn-mlo1sprtr">
    <w:name w:val="skn-mlo1_sprtr"/>
    <w:basedOn w:val="DefaultParagraphFont"/>
    <w:rPr>
      <w:rFonts w:ascii="Arial" w:eastAsia="Arial" w:hAnsi="Arial" w:cs="Arial"/>
      <w:color w:val="696969"/>
      <w:sz w:val="25"/>
      <w:szCs w:val="25"/>
    </w:rPr>
  </w:style>
  <w:style w:type="paragraph" w:customStyle="1" w:styleId="skn-mlo1ulli">
    <w:name w:val="skn-mlo1_ul_li"/>
    <w:basedOn w:val="Normal"/>
    <w:pPr>
      <w:pBdr>
        <w:left w:val="none" w:sz="0" w:space="9" w:color="auto"/>
      </w:pBdr>
    </w:pPr>
  </w:style>
  <w:style w:type="paragraph" w:customStyle="1" w:styleId="skn-mlo1edu-secparagraphfirstparagraph">
    <w:name w:val="skn-mlo1_edu-sec_paragraph_firstparagraph"/>
    <w:basedOn w:val="Normal"/>
    <w:pPr>
      <w:pBdr>
        <w:top w:val="none" w:sz="0" w:space="0" w:color="auto"/>
      </w:pBdr>
    </w:p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1detail-txt">
    <w:name w:val="skn-mlo1_detail-txt"/>
    <w:basedOn w:val="DefaultParagraphFont"/>
    <w:rPr>
      <w:sz w:val="22"/>
      <w:szCs w:val="22"/>
    </w:rPr>
  </w:style>
  <w:style w:type="character" w:customStyle="1" w:styleId="skn-mlo1txt-boldCharacter">
    <w:name w:val="skn-mlo1_txt-bold Character"/>
    <w:basedOn w:val="DefaultParagraphFont"/>
    <w:rPr>
      <w:b/>
      <w:bCs/>
    </w:rPr>
  </w:style>
  <w:style w:type="paragraph" w:customStyle="1" w:styleId="skn-mlo1firstparagraph">
    <w:name w:val="skn-mlo1_firstparagraph"/>
    <w:basedOn w:val="Normal"/>
    <w:pPr>
      <w:pBdr>
        <w:top w:val="none" w:sz="0" w:space="0" w:color="auto"/>
      </w:pBdr>
    </w:pPr>
  </w:style>
  <w:style w:type="paragraph" w:customStyle="1" w:styleId="skn-mlo1sectionreference-secparagraphref-upon-request">
    <w:name w:val="skn-mlo1_section_reference-sec_paragraph_ref-upon-request"/>
    <w:basedOn w:val="Normal"/>
  </w:style>
  <w:style w:type="paragraph" w:customStyle="1" w:styleId="skn-mlo1mid-sectionleft-boxParagraph0">
    <w:name w:val="skn-mlo1_mid-section_left-box Paragraph"/>
    <w:basedOn w:val="Normal"/>
  </w:style>
  <w:style w:type="character" w:customStyle="1" w:styleId="skn-mlo1mid-sectionright-box">
    <w:name w:val="skn-mlo1_mid-section_right-box"/>
    <w:basedOn w:val="DefaultParagraphFont"/>
  </w:style>
  <w:style w:type="paragraph" w:customStyle="1" w:styleId="skn-mlo1mid-sectionright-boxsectionnth-child1">
    <w:name w:val="skn-mlo1_mid-section_right-box_section_nth-child(1)"/>
    <w:basedOn w:val="Normal"/>
  </w:style>
  <w:style w:type="paragraph" w:customStyle="1" w:styleId="skn-mlo1mid-sectionright-boxsectionpict-secsection">
    <w:name w:val="skn-mlo1_mid-section_right-box_section_pict-sec + section"/>
    <w:basedOn w:val="Normal"/>
  </w:style>
  <w:style w:type="character" w:customStyle="1" w:styleId="skn-mlo1ico-svg">
    <w:name w:val="skn-mlo1_ico-svg"/>
    <w:basedOn w:val="DefaultParagraphFont"/>
  </w:style>
  <w:style w:type="character" w:customStyle="1" w:styleId="skn-mlo1ico-txt">
    <w:name w:val="skn-mlo1_ico-txt"/>
    <w:basedOn w:val="DefaultParagraphFont"/>
  </w:style>
  <w:style w:type="table" w:customStyle="1" w:styleId="skn-mlo1icon-row">
    <w:name w:val="skn-mlo1_icon-row"/>
    <w:basedOn w:val="TableNormal"/>
    <w:tblPr/>
  </w:style>
  <w:style w:type="table" w:customStyle="1" w:styleId="skn-mlo1icon-rownth-last-child1">
    <w:name w:val="skn-mlo1_icon-row_nth-last-child(1)"/>
    <w:basedOn w:val="TableNormal"/>
    <w:tblPr/>
  </w:style>
  <w:style w:type="paragraph" w:customStyle="1" w:styleId="skn-mlo1right-boxsinglecolumn">
    <w:name w:val="skn-mlo1_right-box_singlecolumn"/>
    <w:basedOn w:val="Normal"/>
  </w:style>
  <w:style w:type="table" w:customStyle="1" w:styleId="skn-mlo1mid-section">
    <w:name w:val="skn-mlo1_mid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