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Sakshi</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Mehra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799ACC"/>
                <w:sz w:val="28"/>
                <w:szCs w:val="28"/>
              </w:rPr>
            </w:pPr>
            <w:r>
              <w:rPr>
                <w:rStyle w:val="skn-mlz2anyCharacter"/>
                <w:rFonts w:ascii="Open Sans" w:eastAsia="Open Sans" w:hAnsi="Open Sans" w:cs="Open Sans"/>
                <w:b/>
                <w:bCs/>
                <w:caps w:val="0"/>
              </w:rPr>
              <w:t>Recruitment Executive</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799ACC"/>
              <w:tblLayout w:type="fixed"/>
              <w:tblCellMar>
                <w:top w:w="0" w:type="dxa"/>
                <w:left w:w="0" w:type="dxa"/>
                <w:bottom w:w="0" w:type="dxa"/>
                <w:right w:w="0" w:type="dxa"/>
              </w:tblCellMar>
              <w:tblLook w:val="05E0"/>
            </w:tblPr>
            <w:tblGrid>
              <w:gridCol w:w="5510"/>
              <w:gridCol w:w="480"/>
              <w:gridCol w:w="120"/>
              <w:gridCol w:w="5390"/>
              <w:gridCol w:w="360"/>
            </w:tblGrid>
            <w:tr>
              <w:tblPrEx>
                <w:tblW w:w="0" w:type="auto"/>
                <w:tblCellSpacing w:w="0" w:type="dxa"/>
                <w:tblInd w:w="0" w:type="dxa"/>
                <w:shd w:val="clear" w:color="auto" w:fill="799ACC"/>
                <w:tblLayout w:type="fixed"/>
                <w:tblCellMar>
                  <w:top w:w="0" w:type="dxa"/>
                  <w:left w:w="0" w:type="dxa"/>
                  <w:bottom w:w="0" w:type="dxa"/>
                  <w:right w:w="0" w:type="dxa"/>
                </w:tblCellMar>
                <w:tblLook w:val="05E0"/>
              </w:tblPrEx>
              <w:trPr>
                <w:gridAfter w:val="1"/>
                <w:wAfter w:w="360" w:type="dxa"/>
                <w:tblCellSpacing w:w="0" w:type="dxa"/>
              </w:trPr>
              <w:tc>
                <w:tcPr>
                  <w:tcW w:w="5510" w:type="dxa"/>
                  <w:shd w:val="clear" w:color="auto" w:fill="A1B8DB"/>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A1B8DB"/>
                  <w:tcMar>
                    <w:top w:w="120" w:type="dxa"/>
                    <w:left w:w="0" w:type="dxa"/>
                    <w:bottom w:w="0" w:type="dxa"/>
                    <w:right w:w="0" w:type="dxa"/>
                  </w:tcMar>
                  <w:vAlign w:val="top"/>
                  <w:hideMark/>
                </w:tcPr>
                <w:p/>
              </w:tc>
              <w:tc>
                <w:tcPr>
                  <w:tcW w:w="5510" w:type="dxa"/>
                  <w:gridSpan w:val="2"/>
                  <w:shd w:val="clear" w:color="auto" w:fill="A1B8DB"/>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sakshi.mehra.hr@example.com</w:t>
                  </w:r>
                </w:p>
              </w:tc>
            </w:tr>
            <w:tr>
              <w:tblPrEx>
                <w:tblW w:w="0" w:type="auto"/>
                <w:tblCellSpacing w:w="0" w:type="dxa"/>
                <w:tblInd w:w="0" w:type="dxa"/>
                <w:shd w:val="clear" w:color="auto" w:fill="799ACC"/>
                <w:tblLayout w:type="fixed"/>
                <w:tblCellMar>
                  <w:top w:w="0" w:type="dxa"/>
                  <w:left w:w="0" w:type="dxa"/>
                  <w:bottom w:w="0" w:type="dxa"/>
                  <w:right w:w="0" w:type="dxa"/>
                </w:tblCellMar>
                <w:tblLook w:val="05E0"/>
              </w:tblPrEx>
              <w:trPr>
                <w:tblCellSpacing w:w="0" w:type="dxa"/>
              </w:trPr>
              <w:tc>
                <w:tcPr>
                  <w:tcW w:w="5510" w:type="dxa"/>
                  <w:shd w:val="clear" w:color="auto" w:fill="A1B8DB"/>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New Delhi 110024</w:t>
                  </w:r>
                </w:p>
              </w:tc>
              <w:tc>
                <w:tcPr>
                  <w:tcW w:w="600" w:type="dxa"/>
                  <w:gridSpan w:val="2"/>
                  <w:shd w:val="clear" w:color="auto" w:fill="A1B8DB"/>
                  <w:tcMar>
                    <w:top w:w="120" w:type="dxa"/>
                    <w:left w:w="0" w:type="dxa"/>
                    <w:bottom w:w="160" w:type="dxa"/>
                    <w:right w:w="0" w:type="dxa"/>
                  </w:tcMar>
                  <w:vAlign w:val="top"/>
                  <w:hideMark/>
                </w:tcPr>
                <w:p/>
              </w:tc>
              <w:tc>
                <w:tcPr>
                  <w:tcW w:w="5510" w:type="dxa"/>
                  <w:gridSpan w:val="2"/>
                  <w:shd w:val="clear" w:color="auto" w:fill="A1B8DB"/>
                  <w:tcMar>
                    <w:top w:w="120" w:type="dxa"/>
                    <w:left w:w="0" w:type="dxa"/>
                    <w:bottom w:w="160" w:type="dxa"/>
                    <w:right w:w="300" w:type="dxa"/>
                  </w:tcMar>
                  <w:vAlign w:val="top"/>
                  <w:hideMark/>
                </w:tcP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e4ebf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Results-driven Recruitment Executive with expertise in high-volume hiring and talent acquisition strategies. Adept at candidate screening, selection, and stakeholder engagement to streamline recruitment processes. Ready to leverage skills in HRMS and ATS to drive effective hiring solutions and support organizational growth.</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e4ebf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Comprehensive recruitment process</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High-volume hiring</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Talent acquisition strategies</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Candidate screening and selection</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Interview scheduling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Stakeholder engagement</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HRMS and ATS expertise</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University recruitment initiatives</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Onboarding processes and paperwork</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Candidate relationship development</w:t>
            </w:r>
          </w:p>
          <w:p>
            <w:pPr>
              <w:pStyle w:val="skn-mlz2any"/>
              <w:numPr>
                <w:ilvl w:val="0"/>
                <w:numId w:val="11"/>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Data analysis for recruitment metrics</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Offer finalization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e4ebf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3"/>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HR Generalist Program, HR Spot / Any Indian Institute, Year</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LinkedIn Recruiter Certification, if applicable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e4ebf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e4ebf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Recruitment Executive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UrbanCart Solutions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Apr 2021</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Delhi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 end-to-end recruitment for e-commerce roles including Operations Executive, Customer Support, Warehouse Associates, Delivery Executives, and Category Management.</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 detailed screening interviews to assess role fit, communication, stability, and cultural compatibility.</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Handle bulk hiring for warehouse and last-mile delivery teams, fulfilling manpower requirements within strict timelines.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 interview schedules, offer rollouts, salary negotiation, and pre-boarding documentation.</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 with functional heads to understand hiring needs and design sourcing strategies.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 daily recruitment MIS and track hiring metrics to ensure SLA adherence.</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Achieved a 25% reduction in TAT by optimizing sourcing channels and planning weekly hiring drives.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HR &amp; Recruitment Coordinator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ShopBay Retail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Feb 2019</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Mar 2021</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Delhi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6"/>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recruitment for multiple functions including customer care, seller onboarding, and warehouse operations.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Sourced candidates through job portals, referrals, social networks, and internal databases.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interviews, maintained candidate pipelines, and managed onboarding formalities.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vendor coordination for background verification and contract staffing requirements.</w:t>
            </w:r>
          </w:p>
          <w:p>
            <w:pPr>
              <w:pStyle w:val="skn-mlz2expr-sec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Improved candidate experience scores through structured communication and timely feedback.</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e4ebf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Business Administration</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2018</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Commerce</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CBSE Board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2015</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CBSE Board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2013</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799AC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
    <w:name w:val="skn-mlz2_txt-bold"/>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Sakshi Mehra</dc:title>
  <cp:revision>0</cp:revision>
</cp:coreProperties>
</file>