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820"/>
                    <w:gridCol w:w="942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282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div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pacing w:before="0" w:after="0" w:line="20" w:lineRule="atLeast"/>
                          <w:ind w:left="460" w:right="800"/>
                          <w:jc w:val="left"/>
                          <w:rPr>
                            <w:rStyle w:val="skn-mlo6top-sectionleft-boxpict-sec"/>
                            <w:rFonts w:ascii="Open Sans" w:eastAsia="Open Sans" w:hAnsi="Open Sans" w:cs="Open Sans"/>
                            <w:color w:val="050505"/>
                            <w:sz w:val="22"/>
                            <w:szCs w:val="22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top-sectionleft-boxpict-sec"/>
                            <w:rFonts w:ascii="Open Sans" w:eastAsia="Open Sans" w:hAnsi="Open Sans" w:cs="Open Sans"/>
                            <w:strike w:val="0"/>
                            <w:color w:val="050505"/>
                            <w:sz w:val="22"/>
                            <w:szCs w:val="22"/>
                            <w:u w:val="none"/>
                            <w:shd w:val="clear" w:color="auto" w:fill="auto"/>
                          </w:rPr>
                          <w:drawing>
                            <wp:inline>
                              <wp:extent cx="990600" cy="990600"/>
                              <wp:effectExtent l="19050" t="19050" r="28575" b="19050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90600" cy="990600"/>
                                      </a:xfrm>
                                      <a:prstGeom prst="rect">
                                        <a:avLst/>
                                      </a:prstGeom>
                                      <a:ln w="6350">
                                        <a:solidFill>
                                          <a:srgbClr val="FFFFFF"/>
                                        </a:solidFill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  <w:tc>
                      <w:tcPr>
                        <w:tcW w:w="942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magenta-photo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800" w:lineRule="atLeast"/>
                          <w:ind w:left="0" w:right="0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6"/>
                            <w:sz w:val="76"/>
                            <w:szCs w:val="76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magenta-photo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6"/>
                            <w:sz w:val="76"/>
                            <w:szCs w:val="76"/>
                          </w:rPr>
                          <w:t xml:space="preserve">Ankit </w:t>
                        </w:r>
                        <w:r>
                          <w:rPr>
                            <w:rStyle w:val="skn-mlo6magenta-photo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6"/>
                            <w:sz w:val="76"/>
                            <w:szCs w:val="76"/>
                          </w:rPr>
                          <w:t>Verma</w:t>
                        </w:r>
                      </w:p>
                      <w:p>
                        <w:pPr>
                          <w:pStyle w:val="skn-mlo6magenta-photo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0" w:right="0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83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magenta-photo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83"/>
                            <w:sz w:val="20"/>
                            <w:szCs w:val="20"/>
                          </w:rPr>
                          <w:t>Physician Assistant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hd w:val="clear" w:color="auto" w:fill="auto"/>
                          <w:spacing w:line="280" w:lineRule="atLeast"/>
                          <w:ind w:left="0" w:right="0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2"/>
                            <w:szCs w:val="22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2"/>
          <w:szCs w:val="22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Experienced healthcare professional skilled in patient assessment, clinical documentation, and treatment coordination, with a strong background in supporting physicians and enhancing patient care. Adept at monitoring vital signs and maintaining electronic medical records efficiently. Eager to leverage expertise in a new role as an Optometry Technician to contribute to patient-centered care.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Patient Assessment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Clinical Documentation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Medical History Review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Treatment Coordination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Vital Signs Monitoring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Electronic Medical Records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2"/>
                <w:wAfter w:w="720" w:type="dxa"/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300" w:lineRule="atLeast"/>
                    <w:ind w:left="560" w:right="0" w:hanging="301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Patient Counseling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ankit.verma@example.com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560038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27540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18 March 1991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2"/>
                <w:szCs w:val="22"/>
                <w:bdr w:val="none" w:sz="0" w:space="0" w:color="auto"/>
                <w:vertAlign w:val="baseline"/>
              </w:rPr>
              <w:t>Physician Assistant</w:t>
            </w:r>
          </w:p>
          <w:p>
            <w:pPr>
              <w:pStyle w:val="skn-mlo6disp-block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2"/>
                <w:szCs w:val="22"/>
              </w:rPr>
              <w:t>Jul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2"/>
                <w:szCs w:val="22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CityCare Multi Specialty Hospital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Karnataka</w:t>
            </w:r>
          </w:p>
          <w:p>
            <w:pPr>
              <w:pStyle w:val="ulli"/>
              <w:numPr>
                <w:ilvl w:val="0"/>
                <w:numId w:val="8"/>
              </w:numPr>
              <w:spacing w:before="240"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physicians during OPD consultations and minor procedures.</w:t>
            </w:r>
          </w:p>
          <w:p>
            <w:pPr>
              <w:pStyle w:val="ulli"/>
              <w:numPr>
                <w:ilvl w:val="0"/>
                <w:numId w:val="8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Collected and documented patient medical histories accurately.</w:t>
            </w:r>
          </w:p>
          <w:p>
            <w:pPr>
              <w:pStyle w:val="ulli"/>
              <w:numPr>
                <w:ilvl w:val="0"/>
                <w:numId w:val="8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vital signs and reported abnormalities promptly.</w:t>
            </w:r>
          </w:p>
          <w:p>
            <w:pPr>
              <w:pStyle w:val="ulli"/>
              <w:numPr>
                <w:ilvl w:val="0"/>
                <w:numId w:val="8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diagnostic tests and follow-up appointments.</w:t>
            </w:r>
          </w:p>
          <w:p>
            <w:pPr>
              <w:pStyle w:val="ulli"/>
              <w:numPr>
                <w:ilvl w:val="0"/>
                <w:numId w:val="8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electronic medical records regularly.</w:t>
            </w:r>
          </w:p>
          <w:p>
            <w:pPr>
              <w:pStyle w:val="linth-last-child1"/>
              <w:numPr>
                <w:ilvl w:val="0"/>
                <w:numId w:val="8"/>
              </w:numPr>
              <w:pBdr>
                <w:left w:val="none" w:sz="0" w:space="5" w:color="auto"/>
              </w:pBdr>
              <w:spacing w:after="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Educated patients on medications and care plans.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2"/>
                <w:szCs w:val="22"/>
                <w:bdr w:val="none" w:sz="0" w:space="0" w:color="auto"/>
                <w:vertAlign w:val="baseline"/>
              </w:rPr>
              <w:t>Physician Assistant</w:t>
            </w:r>
          </w:p>
          <w:p>
            <w:pPr>
              <w:pStyle w:val="skn-mlo6disp-block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2"/>
                <w:szCs w:val="22"/>
              </w:rPr>
              <w:t>Jan 2017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2"/>
                <w:szCs w:val="22"/>
              </w:rPr>
              <w:t>Jun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LifePlus Medical Center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Chennai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9"/>
              </w:numPr>
              <w:spacing w:before="240"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doctors during inpatient rounds and emergency care.</w:t>
            </w:r>
          </w:p>
          <w:p>
            <w:pPr>
              <w:pStyle w:val="ulli"/>
              <w:numPr>
                <w:ilvl w:val="0"/>
                <w:numId w:val="9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patients for examinations and procedures.</w:t>
            </w:r>
          </w:p>
          <w:p>
            <w:pPr>
              <w:pStyle w:val="ulli"/>
              <w:numPr>
                <w:ilvl w:val="0"/>
                <w:numId w:val="9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Reviewed lab reports and shared summaries with physicians.</w:t>
            </w:r>
          </w:p>
          <w:p>
            <w:pPr>
              <w:pStyle w:val="ulli"/>
              <w:numPr>
                <w:ilvl w:val="0"/>
                <w:numId w:val="9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compliance with treatment protocols.</w:t>
            </w:r>
          </w:p>
          <w:p>
            <w:pPr>
              <w:pStyle w:val="ulli"/>
              <w:numPr>
                <w:ilvl w:val="0"/>
                <w:numId w:val="9"/>
              </w:numPr>
              <w:spacing w:after="10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discharge planning and patient counseling.</w:t>
            </w:r>
          </w:p>
          <w:p>
            <w:pPr>
              <w:pStyle w:val="linth-last-child1"/>
              <w:numPr>
                <w:ilvl w:val="0"/>
                <w:numId w:val="9"/>
              </w:numPr>
              <w:pBdr>
                <w:left w:val="none" w:sz="0" w:space="5" w:color="auto"/>
              </w:pBdr>
              <w:spacing w:after="0" w:line="280" w:lineRule="atLeast"/>
              <w:ind w:left="560" w:right="0" w:hanging="292"/>
              <w:rPr>
                <w:rStyle w:val="span"/>
                <w:rFonts w:ascii="Open Sans" w:eastAsia="Open Sans" w:hAnsi="Open Sans" w:cs="Open Sans"/>
                <w:color w:val="B4B4B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clinical documentation standards.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>Bachelor of Science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>Physician Assistant Studies, Allied Health Sciences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2"/>
                <w:szCs w:val="22"/>
              </w:rPr>
              <w:t xml:space="preserve"> </w:t>
            </w:r>
          </w:p>
          <w:p>
            <w:pPr>
              <w:pStyle w:val="skn-mlo6disp-block"/>
              <w:spacing w:before="0" w:after="0" w:line="30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Sri Ramachandra Institute of Higher Education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300" w:lineRule="atLeast"/>
                    <w:ind w:left="560" w:right="0" w:hanging="301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Certified Physician Assistant, Indian Association of Physician Assistants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1"/>
                    </w:numPr>
                    <w:spacing w:before="0" w:after="0" w:line="300" w:lineRule="atLeast"/>
                    <w:ind w:left="560" w:right="0" w:hanging="301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Basic Life Support (BLS)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Patient Care Coordination Project for OPD workflow improvement. Clinical Documentation Accuracy Audit for EMR compliance.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4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F1398C86-AA3D-4291-B390-D4C7B0771487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D5A9F804-C82D-430A-9589-508E7B92F8F0}"/>
    <w:embedBold r:id="rId3" w:fontKey="{E69FE0CF-14FE-430C-A2BE-0587133327BA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pict-sec">
    <w:name w:val="skn-mlo6_top-section_left-box_pict-sec"/>
    <w:basedOn w:val="DefaultParagraphFont"/>
    <w:rPr>
      <w:shd w:val="clear" w:color="auto" w:fill="515151"/>
    </w:rPr>
  </w:style>
  <w:style w:type="paragraph" w:customStyle="1" w:styleId="skn-mlo6firstparagraph">
    <w:name w:val="skn-mlo6_firstparagraph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515151"/>
    </w:rPr>
  </w:style>
  <w:style w:type="paragraph" w:customStyle="1" w:styleId="skn-mlo6magenta-photoleft-boxname-secany">
    <w:name w:val="skn-mlo6_magenta-photo_left-box_name-sec_any"/>
    <w:basedOn w:val="Normal"/>
    <w:pPr>
      <w:jc w:val="left"/>
    </w:pPr>
  </w:style>
  <w:style w:type="character" w:customStyle="1" w:styleId="skn-mlo6magenta-photoleft-boxname-secanyCharacter">
    <w:name w:val="skn-mlo6_magenta-photo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515151"/>
      <w:textAlignment w:val="center"/>
    </w:pPr>
    <w:rPr>
      <w:shd w:val="clear" w:color="auto" w:fill="515151"/>
    </w:rPr>
  </w:style>
  <w:style w:type="table" w:customStyle="1" w:styleId="skn-mlo6top-sectionleft-box">
    <w:name w:val="skn-mlo6_top-section_left-box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340" w:lineRule="atLeast"/>
    </w:pPr>
    <w:rPr>
      <w:rFonts w:ascii="Bebas Neue" w:eastAsia="Bebas Neue" w:hAnsi="Bebas Neue" w:cs="Bebas Neue"/>
      <w:caps/>
      <w:spacing w:val="14"/>
      <w:sz w:val="28"/>
      <w:szCs w:val="28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300" w:lineRule="atLeast"/>
    </w:pPr>
    <w:rPr>
      <w:sz w:val="22"/>
      <w:szCs w:val="22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515151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515151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 Verma</dc:title>
  <cp:revision>0</cp:revision>
</cp:coreProperties>
</file>