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1pagesize"/>
        <w:tblW w:w="0" w:type="auto"/>
        <w:tblCellSpacing w:w="0" w:type="dxa"/>
        <w:tblLayout w:type="fixed"/>
        <w:tblLook w:val="05E0"/>
      </w:tblPr>
      <w:tblGrid>
        <w:gridCol w:w="7720"/>
        <w:gridCol w:w="4520"/>
      </w:tblGrid>
      <w:tr>
        <w:tblPrEx>
          <w:tblW w:w="0" w:type="auto"/>
          <w:tblCellSpacing w:w="0" w:type="dxa"/>
          <w:tblLayout w:type="fixed"/>
          <w:tblLook w:val="05E0"/>
        </w:tblPrEx>
        <w:trPr>
          <w:tblCellSpacing w:w="0" w:type="dxa"/>
        </w:trPr>
        <w:tc>
          <w:tcPr>
            <w:tcW w:w="7720" w:type="dxa"/>
            <w:shd w:val="clear" w:color="auto" w:fill="EFF9F7"/>
            <w:tcMar>
              <w:top w:w="600" w:type="dxa"/>
              <w:left w:w="0" w:type="dxa"/>
              <w:bottom w:w="600" w:type="dxa"/>
              <w:right w:w="0" w:type="dxa"/>
            </w:tcMar>
            <w:vAlign w:val="center"/>
            <w:hideMark/>
          </w:tcPr>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Karan</w:t>
            </w:r>
            <w:r>
              <w:pict>
                <v:rect id="_x0000_s1025" style="width:386pt;height:762pt;margin-top:0;margin-left:0;mso-position-horizontal-relative:page;mso-position-vertical-relative:page;position:absolute;z-index:-251658240" o:allowincell="f" fillcolor="#eff9f7" stroked="f">
                  <v:path strokeok="f"/>
                </v:rect>
              </w:pic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Patel</w:t>
            </w:r>
          </w:p>
          <w:p>
            <w:pPr>
              <w:pStyle w:val="skn-mly1prof-title"/>
              <w:pBdr>
                <w:top w:val="none" w:sz="0" w:space="0" w:color="auto"/>
                <w:left w:val="none" w:sz="0" w:space="0" w:color="auto"/>
                <w:bottom w:val="none" w:sz="0" w:space="0" w:color="auto"/>
                <w:right w:val="none" w:sz="0" w:space="0" w:color="auto"/>
              </w:pBdr>
              <w:spacing w:before="40" w:after="0" w:line="360" w:lineRule="exact"/>
              <w:ind w:left="600" w:right="600"/>
              <w:rPr>
                <w:rStyle w:val="skn-mly1top-sectionleft-box"/>
                <w:rFonts w:ascii="Poppins" w:eastAsia="Poppins" w:hAnsi="Poppins" w:cs="Poppins"/>
                <w:b w:val="0"/>
                <w:bCs w:val="0"/>
                <w:caps/>
                <w:color w:val="343B30"/>
                <w:spacing w:val="20"/>
                <w:sz w:val="28"/>
                <w:szCs w:val="28"/>
                <w:shd w:val="clear" w:color="auto" w:fill="auto"/>
              </w:rPr>
            </w:pPr>
            <w:r>
              <w:rPr>
                <w:rStyle w:val="skn-mly1anyCharacter"/>
                <w:rFonts w:ascii="Poppins" w:eastAsia="Poppins" w:hAnsi="Poppins" w:cs="Poppins"/>
                <w:b w:val="0"/>
                <w:bCs w:val="0"/>
                <w:caps/>
                <w:color w:val="343B30"/>
              </w:rPr>
              <w:t>Senior Medical Representative</w:t>
            </w:r>
          </w:p>
          <w:p>
            <w:pPr>
              <w:pStyle w:val="skn-mly1any"/>
              <w:pBdr>
                <w:top w:val="none" w:sz="0" w:space="0" w:color="auto"/>
                <w:left w:val="none" w:sz="0" w:space="0" w:color="auto"/>
                <w:bottom w:val="none" w:sz="0" w:space="0" w:color="auto"/>
                <w:right w:val="none" w:sz="0" w:space="0" w:color="auto"/>
              </w:pBdr>
              <w:spacing w:before="0" w:after="0" w:line="260" w:lineRule="exact"/>
              <w:ind w:left="600" w:right="600"/>
              <w:rPr>
                <w:rStyle w:val="skn-mly1top-sectionleft-box"/>
                <w:rFonts w:ascii="Poppins" w:eastAsia="Poppins" w:hAnsi="Poppins" w:cs="Poppins"/>
                <w:b/>
                <w:bCs/>
                <w:caps/>
                <w:color w:val="343B30"/>
                <w:spacing w:val="10"/>
                <w:sz w:val="2"/>
                <w:szCs w:val="2"/>
                <w:shd w:val="clear" w:color="auto" w:fill="auto"/>
              </w:rPr>
            </w:pPr>
            <w:r>
              <w:rPr>
                <w:rStyle w:val="skn-mly1top-sectionleft-box"/>
                <w:rFonts w:ascii="Poppins" w:eastAsia="Poppins" w:hAnsi="Poppins" w:cs="Poppins"/>
                <w:b/>
                <w:bCs/>
                <w:caps/>
                <w:color w:val="343B30"/>
                <w:spacing w:val="10"/>
                <w:sz w:val="2"/>
                <w:szCs w:val="2"/>
                <w:shd w:val="clear" w:color="auto" w:fill="auto"/>
              </w:rPr>
              <w:t> </w:t>
            </w:r>
          </w:p>
          <w:p>
            <w:pPr>
              <w:pStyle w:val="skn-mly1name"/>
              <w:spacing w:after="0" w:line="300" w:lineRule="exact"/>
              <w:ind w:left="600" w:right="600"/>
              <w:rPr>
                <w:rStyle w:val="skn-mly1nameCharacter"/>
                <w:b/>
                <w:bCs/>
                <w:caps/>
                <w:color w:val="343B30"/>
                <w:sz w:val="2"/>
                <w:szCs w:val="2"/>
              </w:rPr>
            </w:pPr>
            <w:r>
              <w:pict>
                <v:line id="_x0000_s1026" style="mso-position-horizontal-relative:margin;position:absolute;z-index:251659264" from="30pt,0" to="62pt,0" stroked="t" strokecolor="#595959" strokeweight="1pt"/>
              </w:pict>
            </w:r>
          </w:p>
          <w:tbl>
            <w:tblPr>
              <w:tblW w:w="0" w:type="auto"/>
              <w:tblInd w:w="600" w:type="dxa"/>
              <w:tblLayout w:type="fixed"/>
              <w:tblCellMar>
                <w:left w:w="108" w:type="dxa"/>
                <w:right w:w="108" w:type="dxa"/>
              </w:tblCellMar>
            </w:tblPr>
            <w:tblGrid>
              <w:gridCol w:w="3120"/>
              <w:gridCol w:w="236"/>
              <w:gridCol w:w="3260"/>
            </w:tblGrid>
            <w:tr>
              <w:tblPrEx>
                <w:tblW w:w="0" w:type="auto"/>
                <w:tblInd w:w="600" w:type="dxa"/>
                <w:tblLayout w:type="fixed"/>
                <w:tblCellMar>
                  <w:left w:w="108" w:type="dxa"/>
                  <w:right w:w="108" w:type="dxa"/>
                </w:tblCellMar>
              </w:tblPrEx>
              <w:tc>
                <w:tcPr>
                  <w:tcW w:w="312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skn-mly1top-sectionleft-box"/>
                            <w:rFonts w:ascii="Open Sans" w:eastAsia="Open Sans" w:hAnsi="Open Sans" w:cs="Open Sans"/>
                            <w:color w:val="343B30"/>
                            <w:sz w:val="20"/>
                            <w:szCs w:val="20"/>
                            <w:shd w:val="clear" w:color="auto" w:fill="auto"/>
                          </w:rPr>
                        </w:pPr>
                        <w:r>
                          <w:rPr>
                            <w:rStyle w:val="skn-mly1top-sectionleft-box"/>
                            <w:rFonts w:ascii="Open Sans" w:eastAsia="Open Sans" w:hAnsi="Open Sans" w:cs="Open Sans"/>
                            <w:color w:val="343B30"/>
                            <w:sz w:val="20"/>
                            <w:szCs w:val="20"/>
                            <w:shd w:val="clear" w:color="auto" w:fill="auto"/>
                          </w:rPr>
                          <w:drawing>
                            <wp:inline>
                              <wp:extent cx="241003" cy="241137"/>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karan.patel88@gmail.com</w:t>
                        </w:r>
                      </w:p>
                    </w:tc>
                  </w:tr>
                </w:tbl>
                <w:p>
                  <w:pPr>
                    <w:rPr>
                      <w:rStyle w:val="skn-mly1top-sectionleft-box"/>
                      <w:rFonts w:ascii="Open Sans" w:eastAsia="Open Sans" w:hAnsi="Open Sans" w:cs="Open Sans"/>
                      <w:color w:val="343B30"/>
                      <w:sz w:val="20"/>
                      <w:szCs w:val="20"/>
                      <w:shd w:val="clear" w:color="auto" w:fill="auto"/>
                    </w:rPr>
                  </w:pPr>
                </w:p>
              </w:tc>
              <w:tc>
                <w:tcPr>
                  <w:tcW w:w="140" w:type="dxa"/>
                </w:tcPr>
                <w:p/>
              </w:tc>
              <w:tc>
                <w:tcPr>
                  <w:tcW w:w="326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+91 98765 43210</w:t>
                        </w:r>
                      </w:p>
                    </w:tc>
                  </w:tr>
                </w:tbl>
                <w:p>
                  <w:pPr>
                    <w:rPr>
                      <w:rStyle w:val="cntc-secaddressadrs-fieldtable-cell"/>
                      <w:rFonts w:ascii="Open Sans" w:eastAsia="Open Sans" w:hAnsi="Open Sans" w:cs="Open Sans"/>
                      <w:color w:val="343B30"/>
                      <w:sz w:val="20"/>
                      <w:szCs w:val="20"/>
                    </w:rPr>
                  </w:pPr>
                </w:p>
              </w:tc>
            </w:tr>
            <w:tr>
              <w:tblPrEx>
                <w:tblW w:w="0" w:type="auto"/>
                <w:tblInd w:w="600" w:type="dxa"/>
                <w:tblLayout w:type="fixed"/>
                <w:tblCellMar>
                  <w:left w:w="108" w:type="dxa"/>
                  <w:right w:w="108" w:type="dxa"/>
                </w:tblCellMar>
              </w:tblPrEx>
              <w:tc>
                <w:tcPr>
                  <w:tcW w:w="312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Ahmedabad</w:t>
                        </w:r>
                        <w:r>
                          <w:rPr>
                            <w:rStyle w:val="adrs-field-tableaddr-circle"/>
                            <w:rFonts w:ascii="Open Sans" w:eastAsia="Open Sans" w:hAnsi="Open Sans" w:cs="Open Sans"/>
                            <w:color w:val="343B30"/>
                            <w:sz w:val="20"/>
                            <w:szCs w:val="20"/>
                          </w:rPr>
                          <w:t xml:space="preserve"> </w:t>
                        </w:r>
                      </w:p>
                    </w:tc>
                  </w:tr>
                </w:tbl>
                <w:p>
                  <w:pPr>
                    <w:rPr>
                      <w:rStyle w:val="cntc-secaddressadrs-fieldtable-cell"/>
                      <w:rFonts w:ascii="Open Sans" w:eastAsia="Open Sans" w:hAnsi="Open Sans" w:cs="Open Sans"/>
                      <w:color w:val="343B30"/>
                      <w:sz w:val="20"/>
                      <w:szCs w:val="20"/>
                    </w:rPr>
                  </w:pPr>
                </w:p>
              </w:tc>
              <w:tc>
                <w:tcPr>
                  <w:tcW w:w="140" w:type="dxa"/>
                  <w:tcMar>
                    <w:bottom w:w="0" w:type="dxa"/>
                  </w:tcMar>
                </w:tcPr>
                <w:p/>
              </w:tc>
              <w:tc>
                <w:tcPr>
                  <w:tcW w:w="3260" w:type="dxa"/>
                  <w:tcMar>
                    <w:bottom w:w="0" w:type="dxa"/>
                  </w:tcMar>
                </w:tcPr>
                <w:p/>
              </w:tc>
            </w:tr>
          </w:tbl>
          <w:p>
            <w:pPr>
              <w:pBdr>
                <w:top w:val="none" w:sz="0" w:space="0" w:color="auto"/>
                <w:left w:val="none" w:sz="0" w:space="0" w:color="auto"/>
                <w:bottom w:val="none" w:sz="0" w:space="0" w:color="auto"/>
                <w:right w:val="none" w:sz="0" w:space="0" w:color="auto"/>
              </w:pBdr>
              <w:rPr>
                <w:rStyle w:val="skn-mly1top-sectionleft-box"/>
                <w:rFonts w:ascii="Open Sans" w:eastAsia="Open Sans" w:hAnsi="Open Sans" w:cs="Open Sans"/>
                <w:color w:val="343B30"/>
                <w:sz w:val="20"/>
                <w:szCs w:val="20"/>
                <w:shd w:val="clear" w:color="auto" w:fill="auto"/>
              </w:rPr>
            </w:pPr>
          </w:p>
        </w:tc>
        <w:tc>
          <w:tcPr>
            <w:tcW w:w="4520" w:type="dxa"/>
            <w:shd w:val="clear" w:color="auto" w:fill="B0E0D8"/>
            <w:tcMar>
              <w:top w:w="600" w:type="dxa"/>
              <w:left w:w="0" w:type="dxa"/>
              <w:bottom w:w="600" w:type="dxa"/>
              <w:right w:w="0" w:type="dxa"/>
            </w:tcMar>
            <w:vAlign w:val="center"/>
            <w:hideMark/>
          </w:tcPr>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top-sectionright-box"/>
                <w:rFonts w:ascii="Poppins" w:eastAsia="Poppins" w:hAnsi="Poppins" w:cs="Poppins"/>
                <w:b/>
                <w:bCs/>
                <w:caps/>
                <w:color w:val="343B30"/>
                <w:spacing w:val="20"/>
                <w:shd w:val="clear" w:color="auto" w:fill="auto"/>
              </w:rPr>
            </w:pPr>
            <w:r>
              <w:rPr>
                <w:rStyle w:val="skn-mly1top-sectionright-box"/>
                <w:rFonts w:ascii="Poppins" w:eastAsia="Poppins" w:hAnsi="Poppins" w:cs="Poppins"/>
                <w:b/>
                <w:bCs/>
                <w:caps/>
                <w:color w:val="343B30"/>
                <w:shd w:val="clear" w:color="auto" w:fill="auto"/>
              </w:rPr>
              <w:t>Professional Summary</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top-sectionright-box"/>
                <w:rFonts w:ascii="Open Sans" w:eastAsia="Open Sans" w:hAnsi="Open Sans" w:cs="Open Sans"/>
                <w:color w:val="343B30"/>
                <w:sz w:val="20"/>
                <w:szCs w:val="20"/>
                <w:shd w:val="clear" w:color="auto" w:fill="auto"/>
              </w:rPr>
            </w:pPr>
            <w:r>
              <w:rPr>
                <w:rStyle w:val="skn-mly1top-sectionright-box"/>
                <w:rFonts w:ascii="Open Sans" w:eastAsia="Open Sans" w:hAnsi="Open Sans" w:cs="Open Sans"/>
                <w:color w:val="343B30"/>
                <w:sz w:val="20"/>
                <w:szCs w:val="20"/>
                <w:shd w:val="clear" w:color="auto" w:fill="auto"/>
              </w:rPr>
              <w:t>Experienced in territory sales management and doctor engagement, leveraging strong scientific knowledge and negotiation skills to achieve sales targets. Proven track record in product detailing and market analysis to drive prescription generation and new product launches. Eager to contribute to a new team as a Senior Medical Representative, focusing on sales growth and relationship management.</w:t>
            </w:r>
          </w:p>
        </w:tc>
      </w:tr>
      <w:tr>
        <w:tblPrEx>
          <w:tblW w:w="0" w:type="auto"/>
          <w:tblCellSpacing w:w="0" w:type="dxa"/>
          <w:tblLayout w:type="fixed"/>
          <w:tblLook w:val="05E0"/>
        </w:tblPrEx>
        <w:trPr>
          <w:tblCellSpacing w:w="0" w:type="dxa"/>
        </w:trPr>
        <w:tc>
          <w:tcPr>
            <w:tcW w:w="7720" w:type="dxa"/>
            <w:shd w:val="clear" w:color="auto" w:fill="FFFFFF"/>
            <w:tcMar>
              <w:top w:w="600" w:type="dxa"/>
              <w:left w:w="0" w:type="dxa"/>
              <w:bottom w:w="600" w:type="dxa"/>
              <w:right w:w="0" w:type="dxa"/>
            </w:tcMar>
            <w:vAlign w:val="top"/>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vanish/>
                <w:color w:val="343B30"/>
                <w:sz w:val="20"/>
                <w:szCs w:val="20"/>
                <w:shd w:val="clear" w:color="auto" w:fill="auto"/>
              </w:rPr>
            </w:pPr>
            <w:r>
              <w:rPr>
                <w:rStyle w:val="skn-mly1parent-containerlef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Experience</w:t>
            </w:r>
          </w:p>
          <w:p>
            <w:pPr>
              <w:pStyle w:val="skn-mly1left-boxsinglecolumn"/>
              <w:pBdr>
                <w:top w:val="none" w:sz="0" w:space="0" w:color="auto"/>
                <w:left w:val="none" w:sz="0" w:space="0" w:color="auto"/>
                <w:bottom w:val="none" w:sz="0" w:space="0" w:color="auto"/>
                <w:right w:val="none" w:sz="0" w:space="0" w:color="auto"/>
              </w:pBdr>
              <w:spacing w:before="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ABC Pharma Pvt. Ltd.</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Senior Medical Representative</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Ahmedabad</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01/2021</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Present</w:t>
            </w:r>
            <w:r>
              <w:rPr>
                <w:rStyle w:val="singlecolumnspanpaddedlinenth-child1"/>
                <w:rFonts w:ascii="Open Sans" w:eastAsia="Open Sans" w:hAnsi="Open Sans" w:cs="Open Sans"/>
                <w:color w:val="343B30"/>
                <w:sz w:val="20"/>
                <w:szCs w:val="20"/>
              </w:rPr>
              <w:t xml:space="preserve"> </w:t>
            </w:r>
          </w:p>
          <w:p>
            <w:pPr>
              <w:pStyle w:val="skn-mly1ulli"/>
              <w:numPr>
                <w:ilvl w:val="0"/>
                <w:numId w:val="1"/>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Managing key physicians, hospitals, and chemists across major Ahmedabad territories.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Achieving monthly/quarterly sales targets across antibiotic and cardiac therapy lines.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Conducting scientific product presentations and promotional discussions with doctors.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Coordinating CME programs and field-level marketing activities.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Monitoring stock levels, distributor performance, and secondary sales.</w:t>
            </w:r>
          </w:p>
          <w:p>
            <w:pPr>
              <w:pStyle w:val="skn-mly1ullinth-last-child1"/>
              <w:numPr>
                <w:ilvl w:val="0"/>
                <w:numId w:val="1"/>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Conducting competitor analysis and market trend assessment to support sales strategy.</w:t>
            </w:r>
          </w:p>
          <w:p>
            <w:pPr>
              <w:pStyle w:val="skn-mly1left-boxsinglecolumn"/>
              <w:pBdr>
                <w:top w:val="none" w:sz="0" w:space="0" w:color="auto"/>
                <w:left w:val="none" w:sz="0" w:space="0" w:color="auto"/>
                <w:bottom w:val="none" w:sz="0" w:space="0" w:color="auto"/>
                <w:right w:val="none" w:sz="0" w:space="0" w:color="auto"/>
              </w:pBdr>
              <w:spacing w:before="20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XYZ Pharmaceuticals Ltd.</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Medical Representative</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Ahmedabad</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01/2017</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01/2021</w:t>
            </w:r>
            <w:r>
              <w:rPr>
                <w:rStyle w:val="singlecolumnspanpaddedlinenth-child1"/>
                <w:rFonts w:ascii="Open Sans" w:eastAsia="Open Sans" w:hAnsi="Open Sans" w:cs="Open Sans"/>
                <w:color w:val="343B30"/>
                <w:sz w:val="20"/>
                <w:szCs w:val="20"/>
              </w:rPr>
              <w:t xml:space="preserve"> </w:t>
            </w:r>
          </w:p>
          <w:p>
            <w:pPr>
              <w:pStyle w:val="skn-mly1ulli"/>
              <w:numPr>
                <w:ilvl w:val="0"/>
                <w:numId w:val="2"/>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Increased prescription contribution through consistent doctor engagement and follow-ups.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Managed general and chronic medicine portfolios with strong market presence.</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Achieved over 95% of assigned sales targets consistently for four consecutive years.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Handled territory expansion and built relationships with new chemists and stockists.</w:t>
            </w:r>
          </w:p>
          <w:p>
            <w:pPr>
              <w:pStyle w:val="skn-mly1ullinth-last-child1"/>
              <w:numPr>
                <w:ilvl w:val="0"/>
                <w:numId w:val="2"/>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Maintained accurate daily call reports, sales summaries, and field activity data.</w:t>
            </w:r>
          </w:p>
          <w:p>
            <w:pPr>
              <w:pStyle w:val="skn-mly1left-boxsinglecolumn"/>
              <w:pBdr>
                <w:top w:val="none" w:sz="0" w:space="0" w:color="auto"/>
                <w:left w:val="none" w:sz="0" w:space="0" w:color="auto"/>
                <w:bottom w:val="none" w:sz="0" w:space="0" w:color="auto"/>
                <w:right w:val="none" w:sz="0" w:space="0" w:color="auto"/>
              </w:pBdr>
              <w:spacing w:before="20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Medilife Remedies</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Medical Representative</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Ahmedabad</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01/2014</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01/2017</w:t>
            </w:r>
            <w:r>
              <w:rPr>
                <w:rStyle w:val="singlecolumnspanpaddedlinenth-child1"/>
                <w:rFonts w:ascii="Open Sans" w:eastAsia="Open Sans" w:hAnsi="Open Sans" w:cs="Open Sans"/>
                <w:color w:val="343B30"/>
                <w:sz w:val="20"/>
                <w:szCs w:val="20"/>
              </w:rPr>
              <w:t xml:space="preserve"> </w:t>
            </w:r>
          </w:p>
          <w:p>
            <w:pPr>
              <w:pStyle w:val="skn-mly1ulli"/>
              <w:numPr>
                <w:ilvl w:val="0"/>
                <w:numId w:val="3"/>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Successfully launched multiple new products and achieved rapid market acceptance.</w:t>
            </w:r>
          </w:p>
          <w:p>
            <w:pPr>
              <w:pStyle w:val="skn-mly1ulli"/>
              <w:numPr>
                <w:ilvl w:val="0"/>
                <w:numId w:val="3"/>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Conducted chemist audits, market surveys, and product feedback sessions.</w:t>
            </w:r>
          </w:p>
          <w:p>
            <w:pPr>
              <w:pStyle w:val="skn-mly1ulli"/>
              <w:numPr>
                <w:ilvl w:val="0"/>
                <w:numId w:val="3"/>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Improved product recall by conducting regular follow-up calls with doctors.</w:t>
            </w:r>
          </w:p>
          <w:p>
            <w:pPr>
              <w:pStyle w:val="skn-mly1ullinth-last-child1"/>
              <w:numPr>
                <w:ilvl w:val="0"/>
                <w:numId w:val="3"/>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Coordinated with distributors to ensure stock availability and timely deliveries.</w:t>
            </w:r>
          </w:p>
          <w:p>
            <w:pPr>
              <w:pStyle w:val="skn-mly1left-boxsinglecolumn"/>
              <w:pBdr>
                <w:top w:val="none" w:sz="0" w:space="0" w:color="auto"/>
                <w:left w:val="none" w:sz="0" w:space="0" w:color="auto"/>
                <w:bottom w:val="none" w:sz="0" w:space="0" w:color="auto"/>
                <w:right w:val="none" w:sz="0" w:space="0" w:color="auto"/>
              </w:pBdr>
              <w:spacing w:before="20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HealthCare Pharma</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Trainee Medical Representative</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Ahmedabad</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01/2013</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01/2014</w:t>
            </w:r>
            <w:r>
              <w:rPr>
                <w:rStyle w:val="singlecolumnspanpaddedlinenth-child1"/>
                <w:rFonts w:ascii="Open Sans" w:eastAsia="Open Sans" w:hAnsi="Open Sans" w:cs="Open Sans"/>
                <w:color w:val="343B30"/>
                <w:sz w:val="20"/>
                <w:szCs w:val="20"/>
              </w:rPr>
              <w:t xml:space="preserve"> </w:t>
            </w:r>
          </w:p>
          <w:p>
            <w:pPr>
              <w:pStyle w:val="skn-mly1ulli"/>
              <w:numPr>
                <w:ilvl w:val="0"/>
                <w:numId w:val="4"/>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senior representatives in field activities, doctor profiling, and product demos.</w:t>
            </w:r>
          </w:p>
          <w:p>
            <w:pPr>
              <w:pStyle w:val="skn-mly1ulli"/>
              <w:numPr>
                <w:ilvl w:val="0"/>
                <w:numId w:val="4"/>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Developed in-depth product knowledge and familiarity with sales reporting.</w:t>
            </w:r>
          </w:p>
          <w:p>
            <w:pPr>
              <w:pStyle w:val="skn-mly1ullinth-last-child1"/>
              <w:numPr>
                <w:ilvl w:val="0"/>
                <w:numId w:val="4"/>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Gained foundational skills in sales communication and territory planning.</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References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References available upon request</w:t>
            </w:r>
          </w:p>
        </w:tc>
        <w:tc>
          <w:tcPr>
            <w:tcW w:w="4520" w:type="dxa"/>
            <w:shd w:val="clear" w:color="auto" w:fill="DFF3EF"/>
            <w:tcMar>
              <w:top w:w="600" w:type="dxa"/>
              <w:left w:w="0" w:type="dxa"/>
              <w:bottom w:w="600" w:type="dxa"/>
              <w:right w:w="0" w:type="dxa"/>
            </w:tcMar>
            <w:vAlign w:val="center"/>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vanish/>
                <w:color w:val="343B30"/>
                <w:sz w:val="20"/>
                <w:szCs w:val="20"/>
                <w:shd w:val="clear" w:color="auto" w:fill="auto"/>
              </w:rPr>
            </w:pPr>
            <w:r>
              <w:rPr>
                <w:rStyle w:val="skn-mly1parent-containerrigh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Education</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Gujarat University</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Bachelor of Science (B.Sc.)</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Chemistry</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2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GSEB</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Higher Secondary Certificate (HSC)</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2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GSEB</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Secondary School Certificate (SSC)</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Skills</w:t>
            </w:r>
          </w:p>
          <w:p>
            <w:pPr>
              <w:pStyle w:val="skn-mly1any"/>
              <w:numPr>
                <w:ilvl w:val="0"/>
                <w:numId w:val="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Territory Sales Management</w:t>
            </w:r>
          </w:p>
          <w:p>
            <w:pPr>
              <w:pStyle w:val="skn-mly1any"/>
              <w:numPr>
                <w:ilvl w:val="0"/>
                <w:numId w:val="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Prescription Generation</w:t>
            </w:r>
          </w:p>
          <w:p>
            <w:pPr>
              <w:pStyle w:val="skn-mly1any"/>
              <w:numPr>
                <w:ilvl w:val="0"/>
                <w:numId w:val="7"/>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Doctor &amp; Hospital Relationship Management</w:t>
            </w:r>
          </w:p>
          <w:p>
            <w:pPr>
              <w:pStyle w:val="skn-mly1any"/>
              <w:numPr>
                <w:ilvl w:val="0"/>
                <w:numId w:val="8"/>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Product Detailing &amp; Demonstration</w:t>
            </w:r>
          </w:p>
          <w:p>
            <w:pPr>
              <w:pStyle w:val="skn-mly1any"/>
              <w:numPr>
                <w:ilvl w:val="0"/>
                <w:numId w:val="9"/>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Distributor &amp; Stockist Coordination</w:t>
            </w:r>
          </w:p>
          <w:p>
            <w:pPr>
              <w:pStyle w:val="skn-mly1any"/>
              <w:numPr>
                <w:ilvl w:val="0"/>
                <w:numId w:val="10"/>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New Product Launch</w:t>
            </w:r>
          </w:p>
          <w:p>
            <w:pPr>
              <w:pStyle w:val="skn-mly1any"/>
              <w:numPr>
                <w:ilvl w:val="0"/>
                <w:numId w:val="11"/>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Competitor Market Analysis</w:t>
            </w:r>
          </w:p>
          <w:p>
            <w:pPr>
              <w:pStyle w:val="skn-mly1any"/>
              <w:numPr>
                <w:ilvl w:val="0"/>
                <w:numId w:val="12"/>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CME &amp; Doctor Engagement Activities</w:t>
            </w:r>
          </w:p>
          <w:p>
            <w:pPr>
              <w:pStyle w:val="skn-mly1any"/>
              <w:numPr>
                <w:ilvl w:val="0"/>
                <w:numId w:val="13"/>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Sales Planning &amp; Target Achievement</w:t>
            </w:r>
          </w:p>
          <w:p>
            <w:pPr>
              <w:pStyle w:val="skn-mly1any"/>
              <w:numPr>
                <w:ilvl w:val="0"/>
                <w:numId w:val="1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Field Reporting &amp; MIS</w:t>
            </w:r>
          </w:p>
          <w:p>
            <w:pPr>
              <w:pStyle w:val="skn-mly1any"/>
              <w:numPr>
                <w:ilvl w:val="0"/>
                <w:numId w:val="1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Excellent Negotiation Skills</w:t>
            </w:r>
          </w:p>
          <w:p>
            <w:pPr>
              <w:pStyle w:val="skn-mly1any"/>
              <w:numPr>
                <w:ilvl w:val="0"/>
                <w:numId w:val="1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Strong Scientific/Product Knowledge</w:t>
            </w:r>
          </w:p>
          <w:p>
            <w:pPr>
              <w:pStyle w:val="skn-mly1parent-containerright-boxParagraph"/>
              <w:shd w:val="clear" w:color="auto" w:fill="auto"/>
              <w:spacing w:line="240" w:lineRule="atLeast"/>
              <w:ind w:left="600" w:right="600"/>
              <w:rPr>
                <w:rStyle w:val="skn-mly1parent-containerright-box"/>
                <w:rFonts w:ascii="Open Sans" w:eastAsia="Open Sans" w:hAnsi="Open Sans" w:cs="Open Sans"/>
                <w:color w:val="343B30"/>
                <w:sz w:val="20"/>
                <w:szCs w:val="20"/>
                <w:shd w:val="clear" w:color="auto" w:fill="auto"/>
              </w:rPr>
            </w:pPr>
          </w:p>
        </w:tc>
      </w:tr>
    </w:tbl>
    <w:p>
      <w:r>
        <w:pict>
          <v:rect id="_x0000_s1027" style="width:386pt;height:11in;margin-top:0;margin-left:0;mso-position-horizontal-relative:page;position:absolute;z-index:-251656192" o:allowoverlap="f" fillcolor="white" stroked="f">
            <v:path strokeok="f"/>
          </v:rect>
        </w:pict>
      </w:r>
      <w:r>
        <w:pict>
          <v:rect id="_x0000_s1028" style="width:226pt;height:11in;margin-top:0;margin-left:0;mso-position-horizontal:right;mso-position-vertical:top;position:absolute;z-index:251661312" fillcolor="#dff3ef" stroked="f">
            <v:path strokeok="f"/>
          </v:rect>
        </w:pict>
      </w:r>
    </w:p>
    <w:sectPr>
      <w:headerReference w:type="default" r:id="rId7"/>
      <w:foot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1F2D8218-EBDB-4671-ADDE-947223308FF2}"/>
    <w:embedBold r:id="rId2" w:fontKey="{1C01AC12-433F-4700-B7E4-61F748257419}"/>
    <w:embedItalic r:id="rId3" w:fontKey="{6A390170-42BD-4A6C-9E07-F6578F5A2399}"/>
    <w:embedBoldItalic r:id="rId4" w:fontKey="{9BEC070A-A4FE-4A65-A514-AAA4CFD572A5}"/>
  </w:font>
  <w:font w:name="Poppins">
    <w:charset w:val="00"/>
    <w:family w:val="auto"/>
    <w:pitch w:val="default"/>
    <w:sig w:usb0="00000000" w:usb1="00000000" w:usb2="00000000" w:usb3="00000000" w:csb0="00000001" w:csb1="00000000"/>
    <w:embedRegular r:id="rId5" w:fontKey="{4CA6027E-2F05-4567-B090-8CBD4710660D}"/>
    <w:embedBold r:id="rId6" w:fontKey="{BEA12476-9F72-4780-A73D-DF78D552400D}"/>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0;mso-position-horizontal:right;mso-position-vertical:top;position:absolute;z-index:251658240" fillcolor="#dff3ef"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1top-sectionleft-box">
    <w:name w:val="skn-mly1_top-section_left-box"/>
    <w:basedOn w:val="DefaultParagraphFont"/>
    <w:rPr>
      <w:shd w:val="clear" w:color="auto" w:fill="FFFFFF"/>
    </w:rPr>
  </w:style>
  <w:style w:type="paragraph" w:customStyle="1" w:styleId="skn-mly1left-boxsectionnth-child1">
    <w:name w:val="skn-mly1_left-box &gt; section_nth-child(1)"/>
    <w:basedOn w:val="Normal"/>
    <w:pPr>
      <w:pBdr>
        <w:top w:val="none" w:sz="0" w:space="0" w:color="auto"/>
      </w:pBdr>
    </w:pPr>
  </w:style>
  <w:style w:type="paragraph" w:customStyle="1" w:styleId="skn-mly1paragraphfirstparagraph">
    <w:name w:val="skn-mly1_paragraph_firstparagraph"/>
    <w:basedOn w:val="Normal"/>
  </w:style>
  <w:style w:type="paragraph" w:customStyle="1" w:styleId="skn-mly1name">
    <w:name w:val="skn-mly1_name"/>
    <w:basedOn w:val="Normal"/>
    <w:pPr>
      <w:spacing w:line="500" w:lineRule="atLeast"/>
    </w:pPr>
    <w:rPr>
      <w:rFonts w:ascii="Poppins" w:eastAsia="Poppins" w:hAnsi="Poppins" w:cs="Poppins"/>
      <w:b/>
      <w:bCs/>
      <w:caps/>
      <w:spacing w:val="10"/>
      <w:sz w:val="56"/>
      <w:szCs w:val="56"/>
    </w:rPr>
  </w:style>
  <w:style w:type="paragraph" w:customStyle="1" w:styleId="skn-mly1any">
    <w:name w:val="skn-mly1_any"/>
    <w:basedOn w:val="Normal"/>
    <w:pPr>
      <w:pBdr>
        <w:top w:val="none" w:sz="0" w:space="0" w:color="auto"/>
        <w:left w:val="none" w:sz="0" w:space="0" w:color="auto"/>
        <w:bottom w:val="none" w:sz="0" w:space="0" w:color="auto"/>
        <w:right w:val="none" w:sz="0" w:space="0" w:color="auto"/>
      </w:pBdr>
    </w:pPr>
  </w:style>
  <w:style w:type="character" w:customStyle="1" w:styleId="skn-mly1anyCharacter">
    <w:name w:val="skn-mly1_any Character"/>
    <w:basedOn w:val="DefaultParagraphFont"/>
  </w:style>
  <w:style w:type="paragraph" w:customStyle="1" w:styleId="skn-mly1prof-title">
    <w:name w:val="skn-mly1_prof-title"/>
    <w:basedOn w:val="Normal"/>
    <w:pPr>
      <w:spacing w:line="360" w:lineRule="atLeast"/>
    </w:pPr>
    <w:rPr>
      <w:b w:val="0"/>
      <w:bCs w:val="0"/>
      <w:spacing w:val="20"/>
      <w:sz w:val="28"/>
      <w:szCs w:val="28"/>
    </w:rPr>
  </w:style>
  <w:style w:type="character" w:customStyle="1" w:styleId="skn-mly1prof-titleCharacter">
    <w:name w:val="skn-mly1_prof-title Character"/>
    <w:basedOn w:val="DefaultParagraphFont"/>
    <w:rPr>
      <w:b w:val="0"/>
      <w:bCs w:val="0"/>
      <w:spacing w:val="20"/>
      <w:sz w:val="28"/>
      <w:szCs w:val="28"/>
    </w:rPr>
  </w:style>
  <w:style w:type="character" w:customStyle="1" w:styleId="skn-mly1nameCharacter">
    <w:name w:val="skn-mly1_name Character"/>
    <w:basedOn w:val="DefaultParagraphFont"/>
    <w:rPr>
      <w:rFonts w:ascii="Poppins" w:eastAsia="Poppins" w:hAnsi="Poppins" w:cs="Poppins"/>
      <w:b/>
      <w:bCs/>
      <w:caps/>
      <w:spacing w:val="10"/>
      <w:sz w:val="56"/>
      <w:szCs w:val="56"/>
    </w:rPr>
  </w:style>
  <w:style w:type="paragraph" w:customStyle="1" w:styleId="skn-mly1top-sectionsection">
    <w:name w:val="skn-mly1_top-section_section"/>
    <w:basedOn w:val="Normal"/>
    <w:pPr>
      <w:pBdr>
        <w:top w:val="none" w:sz="0" w:space="0" w:color="auto"/>
      </w:pBdr>
    </w:pPr>
  </w:style>
  <w:style w:type="character" w:customStyle="1" w:styleId="cntc-secaddressadrs-fieldtable-cell">
    <w:name w:val="cntc-sec_address_adrs-field_table-cell"/>
    <w:basedOn w:val="DefaultParagraphFont"/>
  </w:style>
  <w:style w:type="character" w:customStyle="1" w:styleId="adrs-field-tablecircle">
    <w:name w:val="adrs-field-table_circle"/>
    <w:basedOn w:val="DefaultParagraphFont"/>
  </w:style>
  <w:style w:type="character" w:customStyle="1" w:styleId="adrs-field-tableaddr-circle">
    <w:name w:val="adrs-field-table_addr-circle"/>
    <w:basedOn w:val="DefaultParagraphFont"/>
  </w:style>
  <w:style w:type="table" w:customStyle="1" w:styleId="skn-mly1anyTable">
    <w:name w:val="skn-mly1_any Table"/>
    <w:basedOn w:val="TableNormal"/>
    <w:tblPr/>
  </w:style>
  <w:style w:type="table" w:customStyle="1" w:styleId="skn-mly1address">
    <w:name w:val="skn-mly1_address"/>
    <w:basedOn w:val="TableNormal"/>
    <w:tblPr/>
  </w:style>
  <w:style w:type="character" w:customStyle="1" w:styleId="skn-mly1top-sectionright-box">
    <w:name w:val="skn-mly1_top-section_right-box"/>
    <w:basedOn w:val="DefaultParagraphFont"/>
    <w:rPr>
      <w:shd w:val="clear" w:color="auto" w:fill="FFFFFF"/>
    </w:rPr>
  </w:style>
  <w:style w:type="paragraph" w:customStyle="1" w:styleId="skn-mly1right-boxsectionnth-child1">
    <w:name w:val="skn-mly1_right-box &gt; section_nth-child(1)"/>
    <w:basedOn w:val="Normal"/>
    <w:pPr>
      <w:pBdr>
        <w:top w:val="none" w:sz="0" w:space="0" w:color="auto"/>
      </w:pBdr>
    </w:pPr>
  </w:style>
  <w:style w:type="paragraph" w:customStyle="1" w:styleId="skn-mly1right-boxsectionnth-child1heading">
    <w:name w:val="skn-mly1_right-box &gt; section_nth-child(1)_heading"/>
    <w:basedOn w:val="Normal"/>
  </w:style>
  <w:style w:type="paragraph" w:customStyle="1" w:styleId="skn-mly1sectiontitle">
    <w:name w:val="skn-mly1_sectiontitle"/>
    <w:basedOn w:val="Normal"/>
    <w:rPr>
      <w:spacing w:val="20"/>
    </w:rPr>
  </w:style>
  <w:style w:type="character" w:customStyle="1" w:styleId="skn-mly1parent-containerleft-box">
    <w:name w:val="skn-mly1_parent-container_left-box"/>
    <w:basedOn w:val="DefaultParagraphFont"/>
    <w:rPr>
      <w:shd w:val="clear" w:color="auto" w:fill="FFFFFF"/>
    </w:rPr>
  </w:style>
  <w:style w:type="paragraph" w:customStyle="1" w:styleId="skn-mly1last-boxsectionnth-child1section-spacing">
    <w:name w:val="skn-mly1_last-box &gt; section_nth-child(1)_section-spacing"/>
    <w:basedOn w:val="Normal"/>
    <w:rPr>
      <w:vanish/>
    </w:rPr>
  </w:style>
  <w:style w:type="paragraph" w:customStyle="1" w:styleId="skn-mly1left-boxsectionnth-child1heading">
    <w:name w:val="skn-mly1_left-box &gt; section_nth-child(1)_heading"/>
    <w:basedOn w:val="Normal"/>
  </w:style>
  <w:style w:type="paragraph" w:customStyle="1" w:styleId="skn-mly1left-boxsinglecolumn">
    <w:name w:val="skn-mly1_left-box_singlecolumn"/>
    <w:basedOn w:val="Normal"/>
  </w:style>
  <w:style w:type="character" w:customStyle="1" w:styleId="singlecolumnspanpaddedlinenth-child1">
    <w:name w:val="singlecolumn_span_paddedline_nth-child(1)"/>
    <w:basedOn w:val="DefaultParagraphFont"/>
  </w:style>
  <w:style w:type="character" w:customStyle="1" w:styleId="skn-mly1txt-bold">
    <w:name w:val="skn-mly1_txt-bold"/>
    <w:basedOn w:val="DefaultParagraphFont"/>
    <w:rPr>
      <w:b/>
      <w:bCs/>
    </w:rPr>
  </w:style>
  <w:style w:type="character" w:customStyle="1" w:styleId="skn-mly1txtItl">
    <w:name w:val="skn-mly1_txtItl"/>
    <w:basedOn w:val="DefaultParagraphFont"/>
    <w:rPr>
      <w:i/>
      <w:iCs/>
    </w:rPr>
  </w:style>
  <w:style w:type="paragraph" w:customStyle="1" w:styleId="skn-mly1ulli">
    <w:name w:val="skn-mly1_ul_li"/>
    <w:basedOn w:val="Normal"/>
    <w:pPr>
      <w:pBdr>
        <w:left w:val="none" w:sz="0" w:space="5" w:color="auto"/>
      </w:pBdr>
    </w:pPr>
  </w:style>
  <w:style w:type="paragraph" w:customStyle="1" w:styleId="skn-mly1ullinth-last-child1">
    <w:name w:val="skn-mly1_ul_li_nth-last-child(1)"/>
    <w:basedOn w:val="Normal"/>
    <w:pPr>
      <w:pBdr>
        <w:bottom w:val="none" w:sz="0" w:space="0" w:color="auto"/>
      </w:pBdr>
    </w:pPr>
  </w:style>
  <w:style w:type="paragraph" w:customStyle="1" w:styleId="skn-mly1paragraph">
    <w:name w:val="skn-mly1_paragraph"/>
    <w:basedOn w:val="Normal"/>
  </w:style>
  <w:style w:type="paragraph" w:customStyle="1" w:styleId="skn-mly1section">
    <w:name w:val="skn-mly1_section"/>
    <w:basedOn w:val="Normal"/>
  </w:style>
  <w:style w:type="paragraph" w:customStyle="1" w:styleId="skn-mly1heading">
    <w:name w:val="skn-mly1_heading"/>
    <w:basedOn w:val="Normal"/>
    <w:pPr>
      <w:spacing w:line="280" w:lineRule="atLeast"/>
    </w:pPr>
    <w:rPr>
      <w:rFonts w:ascii="Poppins" w:eastAsia="Poppins" w:hAnsi="Poppins" w:cs="Poppins"/>
      <w:b/>
      <w:bCs/>
      <w:caps/>
      <w:sz w:val="24"/>
      <w:szCs w:val="24"/>
    </w:rPr>
  </w:style>
  <w:style w:type="paragraph" w:customStyle="1" w:styleId="skn-mly1refer-secheadingparagraphnotfirstparagraph">
    <w:name w:val="skn-mly1_refer-sec_heading + paragraph_not(.firstparagraph)"/>
    <w:basedOn w:val="Normal"/>
    <w:pPr>
      <w:pBdr>
        <w:top w:val="none" w:sz="0" w:space="0" w:color="auto"/>
      </w:pBdr>
    </w:pPr>
  </w:style>
  <w:style w:type="character" w:customStyle="1" w:styleId="skn-mly1parent-containerright-box">
    <w:name w:val="skn-mly1_parent-container_right-box"/>
    <w:basedOn w:val="DefaultParagraphFont"/>
    <w:rPr>
      <w:shd w:val="clear" w:color="auto" w:fill="FFFFFF"/>
    </w:rPr>
  </w:style>
  <w:style w:type="paragraph" w:customStyle="1" w:styleId="skn-mly1paddedline">
    <w:name w:val="skn-mly1_paddedline"/>
    <w:basedOn w:val="Normal"/>
  </w:style>
  <w:style w:type="character" w:customStyle="1" w:styleId="skn-mly1beforecolonspace">
    <w:name w:val="skn-mly1_beforecolonspace"/>
    <w:basedOn w:val="DefaultParagraphFont"/>
    <w:rPr>
      <w:vanish/>
    </w:rPr>
  </w:style>
  <w:style w:type="paragraph" w:customStyle="1" w:styleId="skn-mly1dsp-block">
    <w:name w:val="skn-mly1_dsp-block"/>
    <w:basedOn w:val="Normal"/>
  </w:style>
  <w:style w:type="paragraph" w:customStyle="1" w:styleId="skn-mly1cmn-secparagraph">
    <w:name w:val="skn-mly1_cmn-sec_paragraph"/>
    <w:basedOn w:val="Normal"/>
  </w:style>
  <w:style w:type="paragraph" w:customStyle="1" w:styleId="skn-mly1parent-containerright-boxParagraph">
    <w:name w:val="skn-mly1_parent-container_right-box Paragraph"/>
    <w:basedOn w:val="Normal"/>
    <w:pPr>
      <w:shd w:val="clear" w:color="auto" w:fill="FFFFFF"/>
    </w:pPr>
    <w:rPr>
      <w:shd w:val="clear" w:color="auto" w:fill="FFFFFF"/>
    </w:rPr>
  </w:style>
  <w:style w:type="table" w:customStyle="1" w:styleId="skn-mly1pagesize">
    <w:name w:val="skn-mly1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Karan Patel</dc:title>
  <cp:revision>0</cp:revision>
</cp:coreProperties>
</file>