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o1top-sectionleft-box"/>
        <w:tblW w:w="0" w:type="auto"/>
        <w:tblCellSpacing w:w="0" w:type="dxa"/>
        <w:shd w:val="clear" w:color="auto" w:fill="454545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2240"/>
      </w:tblGrid>
      <w:tr>
        <w:tblPrEx>
          <w:tblW w:w="0" w:type="auto"/>
          <w:tblCellSpacing w:w="0" w:type="dxa"/>
          <w:shd w:val="clear" w:color="auto" w:fill="454545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2240" w:type="dxa"/>
            <w:shd w:val="clear" w:color="auto" w:fill="CAA04C"/>
            <w:tcMar>
              <w:top w:w="0" w:type="dxa"/>
              <w:left w:w="0" w:type="dxa"/>
              <w:bottom w:w="420" w:type="dxa"/>
              <w:right w:w="0" w:type="dxa"/>
            </w:tcMar>
            <w:vAlign w:val="center"/>
            <w:hideMark/>
          </w:tcPr>
          <w:p>
            <w:pPr>
              <w:pStyle w:val="skn-mlo1name"/>
              <w:pBdr>
                <w:top w:val="none" w:sz="0" w:space="0" w:color="auto"/>
                <w:left w:val="none" w:sz="0" w:space="0" w:color="auto"/>
                <w:bottom w:val="none" w:sz="0" w:space="6" w:color="auto"/>
                <w:right w:val="none" w:sz="0" w:space="0" w:color="auto"/>
              </w:pBdr>
              <w:spacing w:before="0" w:after="0"/>
              <w:ind w:left="360" w:right="360"/>
              <w:jc w:val="center"/>
              <w:rPr>
                <w:rStyle w:val="skn-mlo1top-sectionleft-boxname-sec"/>
                <w:rFonts w:ascii="Open Sans" w:eastAsia="Open Sans" w:hAnsi="Open Sans" w:cs="Open Sans"/>
                <w:caps/>
                <w:color w:val="FFFFFF"/>
                <w:sz w:val="48"/>
                <w:szCs w:val="48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aps/>
              </w:rPr>
              <w:t>Ritika</w:t>
            </w:r>
            <w:r>
              <w:rPr>
                <w:rStyle w:val="skn-mlo1top-sectionleft-boxname-sec"/>
                <w:rFonts w:ascii="Open Sans" w:eastAsia="Open Sans" w:hAnsi="Open Sans" w:cs="Open Sans"/>
                <w:caps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caps/>
              </w:rPr>
              <w:t>Mehta</w:t>
            </w:r>
            <w:r>
              <w:pict>
                <v:rect id="_x0000_s1025" style="width:226pt;height:11in;margin-top:0;margin-left:386pt;mso-position-horizontal-relative:page;mso-position-vertical-relative:page;position:absolute;z-index:-251658240" o:allowincell="f" fillcolor="#f9f9f9" stroked="f">
                  <v:path strokeok="f"/>
                </v:rect>
              </w:pict>
            </w:r>
          </w:p>
          <w:p>
            <w:pPr>
              <w:pStyle w:val="name-sv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360" w:right="360"/>
              <w:jc w:val="center"/>
              <w:rPr>
                <w:rStyle w:val="skn-mlo1top-sectionleft-boxname-sec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kn-mlo1top-sectionleft-boxname-sec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drawing>
                <wp:inline>
                  <wp:extent cx="850473" cy="13318"/>
                  <wp:docPr id="100001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0473" cy="133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skn-mlo1txt-bold"/>
              <w:pBdr>
                <w:top w:val="none" w:sz="0" w:space="12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00" w:lineRule="atLeast"/>
              <w:ind w:left="360" w:right="360"/>
              <w:jc w:val="center"/>
              <w:rPr>
                <w:rStyle w:val="skn-mlo1top-sectionleft-boxname-sec"/>
                <w:rFonts w:ascii="Open Sans" w:eastAsia="Open Sans" w:hAnsi="Open Sans" w:cs="Open Sans"/>
                <w:b/>
                <w:bCs/>
                <w:caps/>
                <w:color w:val="FFFFFF"/>
                <w:spacing w:val="19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FFFFFF"/>
                <w:spacing w:val="19"/>
              </w:rPr>
              <w:t>LLM IPR Fresher</w:t>
            </w:r>
          </w:p>
          <w:p>
            <w:pPr>
              <w:pStyle w:val="skn-mlo1top-sectionleft-boxname-sec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hd w:val="clear" w:color="auto" w:fill="auto"/>
              <w:spacing w:before="0" w:after="0" w:line="20" w:lineRule="atLeast"/>
              <w:ind w:left="0" w:right="0"/>
              <w:textAlignment w:val="auto"/>
              <w:rPr>
                <w:rStyle w:val="skn-mlo1top-sectionleft-boxname-sec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  <w:r>
              <w:pict>
                <v:rect id="_x0000_s1026" style="width:612pt;height:23pt;margin-top:0;margin-left:0;mso-position-horizontal-relative:page;mso-position-vertical-relative:page;position:absolute;z-index:251659264" o:allowincell="f" fillcolor="#caa04c" stroked="f">
                  <v:path strokeok="f"/>
                </v:rect>
              </w:pict>
            </w:r>
          </w:p>
        </w:tc>
      </w:tr>
    </w:tbl>
    <w:p>
      <w:pPr>
        <w:rPr>
          <w:vanish/>
        </w:rPr>
      </w:pPr>
    </w:p>
    <w:tbl>
      <w:tblPr>
        <w:tblStyle w:val="skn-mlo1mid-section"/>
        <w:tblW w:w="0" w:type="auto"/>
        <w:tblCellSpacing w:w="0" w:type="dxa"/>
        <w:tblInd w:w="0" w:type="dxa"/>
        <w:tblLayout w:type="fixed"/>
        <w:tblCellMar>
          <w:top w:w="0" w:type="dxa"/>
          <w:left w:w="340" w:type="dxa"/>
          <w:bottom w:w="0" w:type="dxa"/>
          <w:right w:w="0" w:type="dxa"/>
        </w:tblCellMar>
        <w:tblLook w:val="05E0"/>
      </w:tblPr>
      <w:tblGrid>
        <w:gridCol w:w="7720"/>
        <w:gridCol w:w="4520"/>
      </w:tblGrid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34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7720" w:type="dxa"/>
            <w:tcMar>
              <w:top w:w="0" w:type="dxa"/>
              <w:left w:w="0" w:type="dxa"/>
              <w:bottom w:w="0" w:type="dxa"/>
              <w:right w:w="480" w:type="dxa"/>
            </w:tcMar>
            <w:vAlign w:val="top"/>
            <w:hideMark/>
          </w:tcPr>
          <w:p>
            <w:pPr>
              <w:pStyle w:val="skn-mlo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380" w:after="240"/>
              <w:ind w:left="340" w:right="0"/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color w:val="CAA04C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bdr w:val="none" w:sz="0" w:space="0" w:color="auto"/>
                <w:vertAlign w:val="baseline"/>
              </w:rPr>
              <w:t>Professional Summary</w:t>
            </w:r>
          </w:p>
          <w:p>
            <w:pPr>
              <w:pStyle w:val="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4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  <w:t>Dynamic IP Legal Intern at Khanna &amp; Co. with expertise in patent and trademark research and a strong foundation in copyright law analysis. Successfully drafted IP applications and delivered impactful presentations on protection strategies. Adept at client communication and legal documentation, driving compliance and enhancing client relationships.</w:t>
            </w:r>
          </w:p>
          <w:p>
            <w:pPr>
              <w:pStyle w:val="skn-mlo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340" w:right="0"/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color w:val="CAA04C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bdr w:val="none" w:sz="0" w:space="0" w:color="auto"/>
                <w:vertAlign w:val="baseline"/>
              </w:rPr>
              <w:t>Experience</w:t>
            </w:r>
          </w:p>
          <w:p>
            <w:pPr>
              <w:pStyle w:val="skn-mlo1txt-bol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  <w:bdr w:val="none" w:sz="0" w:space="0" w:color="auto"/>
                <w:vertAlign w:val="baseline"/>
              </w:rPr>
              <w:t>IP Legal Intern</w:t>
            </w:r>
          </w:p>
          <w:p>
            <w:pPr>
              <w:pStyle w:val="skn-mlo1disp-block"/>
              <w:spacing w:before="0" w:after="0" w:line="28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CAA04C"/>
                <w:sz w:val="22"/>
                <w:szCs w:val="22"/>
              </w:rPr>
              <w:t>July 2024</w:t>
            </w:r>
            <w:r>
              <w:rPr>
                <w:rStyle w:val="span"/>
                <w:rFonts w:ascii="Open Sans" w:eastAsia="Open Sans" w:hAnsi="Open Sans" w:cs="Open Sans"/>
                <w:color w:val="CAA04C"/>
                <w:sz w:val="22"/>
                <w:szCs w:val="22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color w:val="CAA04C"/>
                <w:sz w:val="22"/>
                <w:szCs w:val="22"/>
              </w:rPr>
              <w:t>December 2024</w:t>
            </w:r>
            <w:r>
              <w:rPr>
                <w:rStyle w:val="skn-mlo1sprtr"/>
              </w:rPr>
              <w:t>│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>Khanna &amp; Co.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>Mumbai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>Maharashtra</w:t>
            </w:r>
          </w:p>
          <w:p>
            <w:pPr>
              <w:pStyle w:val="skn-mlo1ulli"/>
              <w:numPr>
                <w:ilvl w:val="0"/>
                <w:numId w:val="1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Conducted patent and trademark searches for clients</w:t>
            </w:r>
          </w:p>
          <w:p>
            <w:pPr>
              <w:pStyle w:val="skn-mlo1ulli"/>
              <w:numPr>
                <w:ilvl w:val="0"/>
                <w:numId w:val="1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Drafted IP applications and legal notices</w:t>
            </w:r>
          </w:p>
          <w:p>
            <w:pPr>
              <w:pStyle w:val="skn-mlo1ulli"/>
              <w:numPr>
                <w:ilvl w:val="0"/>
                <w:numId w:val="1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Assisted lawyers in IP litigation research</w:t>
            </w:r>
          </w:p>
          <w:p>
            <w:pPr>
              <w:pStyle w:val="skn-mlo1ulli"/>
              <w:numPr>
                <w:ilvl w:val="0"/>
                <w:numId w:val="1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Prepared summaries of case law and statutory regulations</w:t>
            </w:r>
          </w:p>
          <w:p>
            <w:pPr>
              <w:pStyle w:val="skn-mlo1ulli"/>
              <w:numPr>
                <w:ilvl w:val="0"/>
                <w:numId w:val="1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Maintained client IP documentation and records</w:t>
            </w:r>
          </w:p>
          <w:p>
            <w:pPr>
              <w:pStyle w:val="skn-mlo1ulli"/>
              <w:numPr>
                <w:ilvl w:val="0"/>
                <w:numId w:val="1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Supported meetings with clients on IP compliance</w:t>
            </w:r>
          </w:p>
          <w:p>
            <w:pPr>
              <w:pStyle w:val="skn-mlo1txt-bold"/>
              <w:pBdr>
                <w:top w:val="none" w:sz="0" w:space="1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  <w:bdr w:val="none" w:sz="0" w:space="0" w:color="auto"/>
                <w:vertAlign w:val="baseline"/>
              </w:rPr>
              <w:t>Academic Project</w:t>
            </w:r>
          </w:p>
          <w:p>
            <w:pPr>
              <w:pStyle w:val="skn-mlo1disp-block"/>
              <w:spacing w:before="0" w:after="0" w:line="28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CAA04C"/>
                <w:sz w:val="22"/>
                <w:szCs w:val="22"/>
              </w:rPr>
              <w:t>January 2024</w:t>
            </w:r>
            <w:r>
              <w:rPr>
                <w:rStyle w:val="span"/>
                <w:rFonts w:ascii="Open Sans" w:eastAsia="Open Sans" w:hAnsi="Open Sans" w:cs="Open Sans"/>
                <w:color w:val="CAA04C"/>
                <w:sz w:val="22"/>
                <w:szCs w:val="22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color w:val="CAA04C"/>
                <w:sz w:val="22"/>
                <w:szCs w:val="22"/>
              </w:rPr>
              <w:t>June 2024</w:t>
            </w:r>
            <w:r>
              <w:rPr>
                <w:rStyle w:val="skn-mlo1sprtr"/>
              </w:rPr>
              <w:t>│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>Khanna &amp; Co.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>Mumbai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>Maharashtra</w:t>
            </w:r>
          </w:p>
          <w:p>
            <w:pPr>
              <w:pStyle w:val="skn-mlo1ulli"/>
              <w:numPr>
                <w:ilvl w:val="0"/>
                <w:numId w:val="2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Researched recent copyright violation cases in India</w:t>
            </w:r>
          </w:p>
          <w:p>
            <w:pPr>
              <w:pStyle w:val="skn-mlo1ulli"/>
              <w:numPr>
                <w:ilvl w:val="0"/>
                <w:numId w:val="2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Evaluated statutory interpretations and judicial rulings</w:t>
            </w:r>
          </w:p>
          <w:p>
            <w:pPr>
              <w:pStyle w:val="skn-mlo1ulli"/>
              <w:numPr>
                <w:ilvl w:val="0"/>
                <w:numId w:val="2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Prepared detailed research reports and presentations</w:t>
            </w:r>
          </w:p>
          <w:p>
            <w:pPr>
              <w:pStyle w:val="skn-mlo1ulli"/>
              <w:numPr>
                <w:ilvl w:val="0"/>
                <w:numId w:val="2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Suggested recommendations for IP protection strategies</w:t>
            </w:r>
          </w:p>
          <w:p>
            <w:pPr>
              <w:pStyle w:val="skn-mlo1ulli"/>
              <w:numPr>
                <w:ilvl w:val="0"/>
                <w:numId w:val="2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Conducted comparative study with international IP laws</w:t>
            </w:r>
          </w:p>
          <w:p>
            <w:pPr>
              <w:pStyle w:val="skn-mlo1ulli"/>
              <w:numPr>
                <w:ilvl w:val="0"/>
                <w:numId w:val="2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Presented findings to faculty and peers</w:t>
            </w:r>
          </w:p>
          <w:p>
            <w:pPr>
              <w:pStyle w:val="skn-mlo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340" w:right="0"/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color w:val="CAA04C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bdr w:val="none" w:sz="0" w:space="0" w:color="auto"/>
                <w:vertAlign w:val="baseline"/>
              </w:rPr>
              <w:t>Education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" w:lineRule="exac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1disp-block"/>
              <w:spacing w:before="0" w:after="0" w:line="26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</w:rPr>
              <w:t>LLM</w:t>
            </w:r>
            <w:r>
              <w:rPr>
                <w:rStyle w:val="skn-mlo1txt-boldCharacter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</w:rPr>
              <w:t>in</w:t>
            </w:r>
            <w:r>
              <w:rPr>
                <w:rStyle w:val="skn-mlo1txt-boldCharacter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</w:rPr>
              <w:t>Intellectual Property Rights</w:t>
            </w:r>
            <w:r>
              <w:rPr>
                <w:rStyle w:val="skn-mlo1txt-boldCharacter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</w:rPr>
              <w:t xml:space="preserve"> </w:t>
            </w:r>
          </w:p>
          <w:p>
            <w:pPr>
              <w:pStyle w:val="skn-mlo1disp-block"/>
              <w:spacing w:before="0" w:after="0" w:line="28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CAA04C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CAA04C"/>
                <w:sz w:val="22"/>
                <w:szCs w:val="22"/>
              </w:rPr>
              <w:t>January 2025</w:t>
            </w:r>
            <w:r>
              <w:rPr>
                <w:rStyle w:val="span"/>
                <w:rFonts w:ascii="Open Sans" w:eastAsia="Open Sans" w:hAnsi="Open Sans" w:cs="Open Sans"/>
                <w:color w:val="CAA04C"/>
                <w:sz w:val="22"/>
                <w:szCs w:val="22"/>
              </w:rPr>
              <w:t xml:space="preserve"> </w:t>
            </w:r>
          </w:p>
          <w:p>
            <w:pPr>
              <w:pStyle w:val="skn-mlo1disp-block"/>
              <w:spacing w:before="0" w:after="0" w:line="26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National Law University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1disp-block"/>
              <w:spacing w:before="0" w:after="0" w:line="26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</w:rPr>
              <w:t>BA</w:t>
            </w:r>
            <w:r>
              <w:rPr>
                <w:rStyle w:val="skn-mlo1txt-boldCharacter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</w:rPr>
              <w:t>in</w:t>
            </w:r>
            <w:r>
              <w:rPr>
                <w:rStyle w:val="skn-mlo1txt-boldCharacter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</w:rPr>
              <w:t>LLB</w:t>
            </w:r>
            <w:r>
              <w:rPr>
                <w:rStyle w:val="skn-mlo1txt-boldCharacter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</w:rPr>
              <w:t xml:space="preserve"> </w:t>
            </w:r>
          </w:p>
          <w:p>
            <w:pPr>
              <w:pStyle w:val="skn-mlo1disp-block"/>
              <w:spacing w:before="0" w:after="0" w:line="28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CAA04C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CAA04C"/>
                <w:sz w:val="22"/>
                <w:szCs w:val="22"/>
              </w:rPr>
              <w:t>January 2023</w:t>
            </w:r>
            <w:r>
              <w:rPr>
                <w:rStyle w:val="span"/>
                <w:rFonts w:ascii="Open Sans" w:eastAsia="Open Sans" w:hAnsi="Open Sans" w:cs="Open Sans"/>
                <w:color w:val="CAA04C"/>
                <w:sz w:val="22"/>
                <w:szCs w:val="22"/>
              </w:rPr>
              <w:t xml:space="preserve"> </w:t>
            </w:r>
          </w:p>
          <w:p>
            <w:pPr>
              <w:pStyle w:val="skn-mlo1disp-block"/>
              <w:spacing w:before="0" w:after="0" w:line="26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University of Mumbai</w:t>
            </w:r>
          </w:p>
          <w:p>
            <w:pPr>
              <w:pStyle w:val="skn-mlo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340" w:right="0"/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color w:val="CAA04C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bdr w:val="none" w:sz="0" w:space="0" w:color="auto"/>
                <w:vertAlign w:val="baseline"/>
              </w:rPr>
              <w:t>Certifications</w:t>
            </w:r>
          </w:p>
          <w:p>
            <w:pPr>
              <w:pStyle w:val="p"/>
              <w:numPr>
                <w:ilvl w:val="0"/>
                <w:numId w:val="3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Enrollment with Bar Council of India, Pending/Completed</w:t>
            </w:r>
          </w:p>
          <w:p>
            <w:pPr>
              <w:pStyle w:val="p"/>
              <w:numPr>
                <w:ilvl w:val="0"/>
                <w:numId w:val="3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Certification in Intellectual Property Rights, WIPO Online Course</w:t>
            </w:r>
          </w:p>
          <w:p>
            <w:pPr>
              <w:pStyle w:val="skn-mlo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340" w:right="0"/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color w:val="CAA04C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bdr w:val="none" w:sz="0" w:space="0" w:color="auto"/>
                <w:vertAlign w:val="baseline"/>
              </w:rPr>
              <w:t>Personal Information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Gender: Female</w:t>
            </w:r>
          </w:p>
          <w:p>
            <w:pPr>
              <w:pStyle w:val="skn-mlo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340" w:right="0"/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color w:val="CAA04C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bdr w:val="none" w:sz="0" w:space="0" w:color="auto"/>
                <w:vertAlign w:val="baseline"/>
              </w:rPr>
              <w:t>Projects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Patent Filing Procedure Study, Studied the complete patent application process in India and abroad. Trademark Compliance Analysis, Examined trademark law compliance for startups and SMEs.</w:t>
            </w:r>
          </w:p>
          <w:p>
            <w:pPr>
              <w:pStyle w:val="skn-mlo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340" w:right="0"/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color w:val="CAA04C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bdr w:val="none" w:sz="0" w:space="0" w:color="auto"/>
                <w:vertAlign w:val="baseline"/>
              </w:rPr>
              <w:t>References</w:t>
            </w:r>
          </w:p>
          <w:p>
            <w:pPr>
              <w:pStyle w:val="skn-mlo1sectionreference-secparagraphref-upon-reque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340" w:right="0"/>
              <w:textAlignment w:val="top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References available upon request</w:t>
            </w:r>
          </w:p>
          <w:p>
            <w:pPr>
              <w:pStyle w:val="skn-mlo1mid-sectionleft-boxParagraph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exact"/>
              <w:ind w:left="340" w:right="0"/>
              <w:textAlignment w:val="auto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4520" w:type="dxa"/>
            <w:tcMar>
              <w:top w:w="0" w:type="dxa"/>
              <w:left w:w="0" w:type="dxa"/>
              <w:bottom w:w="0" w:type="dxa"/>
              <w:right w:w="340" w:type="dxa"/>
            </w:tcMar>
            <w:vAlign w:val="top"/>
            <w:hideMark/>
          </w:tcPr>
          <w:p>
            <w:pPr>
              <w:pStyle w:val="skn-mlo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380" w:after="240"/>
              <w:ind w:left="340" w:right="0"/>
              <w:rPr>
                <w:rStyle w:val="skn-mlo1mid-sectionright-box"/>
                <w:rFonts w:ascii="Open Sans" w:eastAsia="Open Sans" w:hAnsi="Open Sans" w:cs="Open Sans"/>
                <w:b/>
                <w:bCs/>
                <w:caps/>
                <w:color w:val="CAA04C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1mid-sectionright-box"/>
                <w:rFonts w:ascii="Open Sans" w:eastAsia="Open Sans" w:hAnsi="Open Sans" w:cs="Open Sans"/>
                <w:b/>
                <w:bCs/>
                <w:caps/>
                <w:bdr w:val="none" w:sz="0" w:space="0" w:color="auto"/>
                <w:vertAlign w:val="baseline"/>
              </w:rPr>
              <w:t>Contact</w:t>
            </w:r>
          </w:p>
          <w:tbl>
            <w:tblPr>
              <w:tblStyle w:val="skn-mlo1icon-row"/>
              <w:tblW w:w="0" w:type="auto"/>
              <w:tblCellSpacing w:w="0" w:type="dxa"/>
              <w:tblInd w:w="34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60"/>
              <w:gridCol w:w="3640"/>
            </w:tblGrid>
            <w:tr>
              <w:tblPrEx>
                <w:tblW w:w="0" w:type="auto"/>
                <w:tblCellSpacing w:w="0" w:type="dxa"/>
                <w:tblInd w:w="34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60"/>
                <w:tblCellSpacing w:w="0" w:type="dxa"/>
              </w:trPr>
              <w:tc>
                <w:tcPr>
                  <w:tcW w:w="56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before="20"/>
                    <w:rPr>
                      <w:rStyle w:val="skn-mlo1mid-sectionrigh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1mid-sectionrigh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drawing>
                      <wp:inline>
                        <wp:extent cx="229101" cy="229235"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40" w:type="dxa"/>
                  <w:tcMar>
                    <w:top w:w="0" w:type="dxa"/>
                    <w:left w:w="0" w:type="dxa"/>
                    <w:bottom w:w="200" w:type="dxa"/>
                    <w:right w:w="500" w:type="dxa"/>
                  </w:tcMar>
                  <w:vAlign w:val="top"/>
                  <w:hideMark/>
                </w:tcPr>
                <w:p>
                  <w:pPr>
                    <w:rPr>
                      <w:rStyle w:val="skn-mlo1ico-svg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+91 98765 43210</w:t>
                  </w:r>
                  <w:r>
                    <w:rPr>
                      <w:rStyle w:val="skn-mlo1ico-txt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1icon-row"/>
              <w:tblW w:w="0" w:type="auto"/>
              <w:tblCellSpacing w:w="0" w:type="dxa"/>
              <w:tblInd w:w="34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60"/>
              <w:gridCol w:w="3640"/>
            </w:tblGrid>
            <w:tr>
              <w:tblPrEx>
                <w:tblW w:w="0" w:type="auto"/>
                <w:tblCellSpacing w:w="0" w:type="dxa"/>
                <w:tblInd w:w="34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60"/>
                <w:tblCellSpacing w:w="0" w:type="dxa"/>
              </w:trPr>
              <w:tc>
                <w:tcPr>
                  <w:tcW w:w="56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before="20"/>
                    <w:rPr>
                      <w:rStyle w:val="skn-mlo1mid-sectionrigh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1mid-sectionrigh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drawing>
                      <wp:inline>
                        <wp:extent cx="229101" cy="229235"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40" w:type="dxa"/>
                  <w:tcMar>
                    <w:top w:w="0" w:type="dxa"/>
                    <w:left w:w="0" w:type="dxa"/>
                    <w:bottom w:w="200" w:type="dxa"/>
                    <w:right w:w="500" w:type="dxa"/>
                  </w:tcMar>
                  <w:vAlign w:val="top"/>
                  <w:hideMark/>
                </w:tcPr>
                <w:p>
                  <w:pPr>
                    <w:rPr>
                      <w:rStyle w:val="skn-mlo1ico-svg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ritika.mehta@example.com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1icon-row"/>
              <w:tblW w:w="0" w:type="auto"/>
              <w:tblCellSpacing w:w="0" w:type="dxa"/>
              <w:tblInd w:w="34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60"/>
              <w:gridCol w:w="3640"/>
            </w:tblGrid>
            <w:tr>
              <w:tblPrEx>
                <w:tblW w:w="0" w:type="auto"/>
                <w:tblCellSpacing w:w="0" w:type="dxa"/>
                <w:tblInd w:w="34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60"/>
                <w:tblCellSpacing w:w="0" w:type="dxa"/>
              </w:trPr>
              <w:tc>
                <w:tcPr>
                  <w:tcW w:w="56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before="20"/>
                    <w:rPr>
                      <w:rStyle w:val="skn-mlo1mid-sectionrigh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1mid-sectionrigh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drawing>
                      <wp:inline>
                        <wp:extent cx="229101" cy="229235"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40" w:type="dxa"/>
                  <w:tcMar>
                    <w:top w:w="0" w:type="dxa"/>
                    <w:left w:w="0" w:type="dxa"/>
                    <w:bottom w:w="200" w:type="dxa"/>
                    <w:right w:w="500" w:type="dxa"/>
                  </w:tcMar>
                  <w:vAlign w:val="top"/>
                  <w:hideMark/>
                </w:tcPr>
                <w:p>
                  <w:pPr>
                    <w:rPr>
                      <w:rStyle w:val="skn-mlo1ico-svg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Mumbai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,</w:t>
                  </w:r>
                  <w:r>
                    <w:rPr>
                      <w:rStyle w:val="skn-mlo1ico-txt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Maharashtra</w:t>
                  </w:r>
                  <w:r>
                    <w:rPr>
                      <w:rStyle w:val="skn-mlo1ico-txt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400053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1icon-rownth-last-child1"/>
              <w:tblW w:w="0" w:type="auto"/>
              <w:tblCellSpacing w:w="0" w:type="dxa"/>
              <w:tblInd w:w="34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60"/>
              <w:gridCol w:w="3640"/>
            </w:tblGrid>
            <w:tr>
              <w:tblPrEx>
                <w:tblW w:w="0" w:type="auto"/>
                <w:tblCellSpacing w:w="0" w:type="dxa"/>
                <w:tblInd w:w="34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60"/>
                <w:tblCellSpacing w:w="0" w:type="dxa"/>
              </w:trPr>
              <w:tc>
                <w:tcPr>
                  <w:tcW w:w="56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before="20"/>
                    <w:rPr>
                      <w:rStyle w:val="skn-mlo1mid-sectionrigh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1mid-sectionrigh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drawing>
                      <wp:inline>
                        <wp:extent cx="229101" cy="229235"/>
                        <wp:docPr id="100009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9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40" w:type="dxa"/>
                  <w:tcMar>
                    <w:top w:w="0" w:type="dxa"/>
                    <w:left w:w="0" w:type="dxa"/>
                    <w:bottom w:w="200" w:type="dxa"/>
                    <w:right w:w="500" w:type="dxa"/>
                  </w:tcMar>
                  <w:vAlign w:val="top"/>
                  <w:hideMark/>
                </w:tcPr>
                <w:p>
                  <w:pPr>
                    <w:rPr>
                      <w:rStyle w:val="skn-mlo1ico-svg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15 February 2001</w:t>
                  </w:r>
                </w:p>
              </w:tc>
            </w:tr>
          </w:tbl>
          <w:p>
            <w:pPr>
              <w:pStyle w:val="skn-mlo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340" w:right="0"/>
              <w:rPr>
                <w:rStyle w:val="skn-mlo1mid-sectionright-box"/>
                <w:rFonts w:ascii="Open Sans" w:eastAsia="Open Sans" w:hAnsi="Open Sans" w:cs="Open Sans"/>
                <w:b/>
                <w:bCs/>
                <w:caps/>
                <w:color w:val="CAA04C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1mid-sectionright-box"/>
                <w:rFonts w:ascii="Open Sans" w:eastAsia="Open Sans" w:hAnsi="Open Sans" w:cs="Open Sans"/>
                <w:b/>
                <w:bCs/>
                <w:caps/>
                <w:bdr w:val="none" w:sz="0" w:space="0" w:color="auto"/>
                <w:vertAlign w:val="baseline"/>
              </w:rPr>
              <w:t>Skills</w:t>
            </w:r>
          </w:p>
          <w:p>
            <w:pPr>
              <w:pStyle w:val="p"/>
              <w:numPr>
                <w:ilvl w:val="0"/>
                <w:numId w:val="4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Patent and Trademark Research</w:t>
            </w:r>
          </w:p>
          <w:p>
            <w:pPr>
              <w:pStyle w:val="p"/>
              <w:numPr>
                <w:ilvl w:val="0"/>
                <w:numId w:val="4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Copyright and IP Law Analysis</w:t>
            </w:r>
          </w:p>
          <w:p>
            <w:pPr>
              <w:pStyle w:val="p"/>
              <w:numPr>
                <w:ilvl w:val="0"/>
                <w:numId w:val="4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Legal Drafting &amp; Documentation</w:t>
            </w:r>
          </w:p>
          <w:p>
            <w:pPr>
              <w:pStyle w:val="p"/>
              <w:numPr>
                <w:ilvl w:val="0"/>
                <w:numId w:val="4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Case Law Interpretation</w:t>
            </w:r>
          </w:p>
          <w:p>
            <w:pPr>
              <w:pStyle w:val="p"/>
              <w:numPr>
                <w:ilvl w:val="0"/>
                <w:numId w:val="4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Intellectual Property Compliance</w:t>
            </w:r>
          </w:p>
          <w:p>
            <w:pPr>
              <w:pStyle w:val="p"/>
              <w:numPr>
                <w:ilvl w:val="0"/>
                <w:numId w:val="4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Legal Research &amp; Reporting</w:t>
            </w:r>
          </w:p>
          <w:p>
            <w:pPr>
              <w:pStyle w:val="p"/>
              <w:numPr>
                <w:ilvl w:val="0"/>
                <w:numId w:val="4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Client Communication</w:t>
            </w: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color w:val="FFFFFF"/>
          <w:sz w:val="2"/>
        </w:rPr>
        <w:t>.</w:t>
      </w:r>
      <w:r>
        <w:pict>
          <v:rect id="_x0000_s1027" style="width:226pt;height:750pt;margin-top:21pt;margin-left:386pt;mso-position-horizontal-relative:page;mso-position-vertical-relative:page;position:absolute;z-index:-251656192" o:allowincell="f" filled="t" fillcolor="this" stroked="f">
            <v:fill opacity="0"/>
            <v:path strokeok="f"/>
          </v:rect>
        </w:pict>
      </w:r>
    </w:p>
    <w:sectPr>
      <w:headerReference w:type="default" r:id="rId9"/>
      <w:pgSz w:w="12240" w:h="15840"/>
      <w:pgMar w:top="420" w:right="0" w:bottom="42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charset w:val="00"/>
    <w:family w:val="auto"/>
    <w:pitch w:val="default"/>
  </w:font>
  <w:font w:name="Courier New">
    <w:charset w:val="00"/>
    <w:family w:val="auto"/>
    <w:pitch w:val="default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0D9FC07C-CC09-4197-BD84-742C3E81D14A}"/>
    <w:embedBold r:id="rId2" w:fontKey="{AFACC6A0-456E-4136-9D4F-044C6076AA3E}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pict>
        <v:rect id="_x0000_s2049" style="width:226pt;height:11in;margin-top:0;margin-left:386pt;mso-position-horizontal-relative:page;mso-position-vertical-relative:page;position:absolute;z-index:-251658240" o:allowincell="f" fillcolor="#f9f9f9" stroked="f">
          <v:path strokeok="f"/>
        </v:rect>
      </w:pict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CAA04C"/>
        <w:position w:val="2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CAA04C"/>
        <w:position w:val="2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CAA04C"/>
        <w:position w:val="2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CAA04C"/>
        <w:position w:val="2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o1pagesize">
    <w:name w:val="skn-mlo1_pagesize"/>
    <w:basedOn w:val="Normal"/>
  </w:style>
  <w:style w:type="paragraph" w:customStyle="1" w:styleId="skn-mlo1top-section">
    <w:name w:val="skn-mlo1_top-section"/>
    <w:basedOn w:val="Normal"/>
    <w:pPr>
      <w:shd w:val="clear" w:color="auto" w:fill="454545"/>
    </w:pPr>
    <w:rPr>
      <w:shd w:val="clear" w:color="auto" w:fill="454545"/>
    </w:rPr>
  </w:style>
  <w:style w:type="character" w:customStyle="1" w:styleId="skn-mlo1top-sectionleft-boxname-sec">
    <w:name w:val="skn-mlo1_top-section_left-box_name-sec"/>
    <w:basedOn w:val="DefaultParagraphFont"/>
    <w:rPr>
      <w:shd w:val="clear" w:color="auto" w:fill="CAA04C"/>
    </w:rPr>
  </w:style>
  <w:style w:type="paragraph" w:customStyle="1" w:styleId="skn-mlo1top-sectionleft-boxname-secdiv">
    <w:name w:val="skn-mlo1_top-section_left-box_name-sec &gt; div"/>
    <w:basedOn w:val="Normal"/>
    <w:pPr>
      <w:pBdr>
        <w:left w:val="none" w:sz="0" w:space="18" w:color="auto"/>
        <w:right w:val="none" w:sz="0" w:space="18" w:color="auto"/>
      </w:pBdr>
    </w:pPr>
  </w:style>
  <w:style w:type="paragraph" w:customStyle="1" w:styleId="skn-mlo1name">
    <w:name w:val="skn-mlo1_name"/>
    <w:basedOn w:val="Normal"/>
    <w:pPr>
      <w:pBdr>
        <w:bottom w:val="none" w:sz="0" w:space="6" w:color="auto"/>
      </w:pBdr>
      <w:spacing w:line="640" w:lineRule="atLeast"/>
    </w:pPr>
    <w:rPr>
      <w:caps/>
      <w:color w:val="FFFFFF"/>
      <w:sz w:val="48"/>
      <w:szCs w:val="48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name-svg">
    <w:name w:val="name-svg"/>
    <w:basedOn w:val="Normal"/>
    <w:pPr>
      <w:spacing w:line="20" w:lineRule="atLeast"/>
    </w:pPr>
  </w:style>
  <w:style w:type="paragraph" w:customStyle="1" w:styleId="skn-mlo1txt-bold">
    <w:name w:val="skn-mlo1_txt-bold"/>
    <w:basedOn w:val="Normal"/>
    <w:rPr>
      <w:b/>
      <w:bCs/>
    </w:rPr>
  </w:style>
  <w:style w:type="paragraph" w:customStyle="1" w:styleId="skn-mlo1top-sectionleft-boxname-secParagraph">
    <w:name w:val="skn-mlo1_top-section_left-box_name-sec Paragraph"/>
    <w:basedOn w:val="Normal"/>
    <w:pPr>
      <w:pBdr>
        <w:top w:val="none" w:sz="0" w:space="0" w:color="auto"/>
        <w:left w:val="none" w:sz="0" w:space="0" w:color="auto"/>
        <w:bottom w:val="none" w:sz="0" w:space="21" w:color="auto"/>
        <w:right w:val="none" w:sz="0" w:space="0" w:color="auto"/>
      </w:pBdr>
      <w:shd w:val="clear" w:color="auto" w:fill="CAA04C"/>
      <w:jc w:val="center"/>
      <w:textAlignment w:val="center"/>
    </w:pPr>
    <w:rPr>
      <w:shd w:val="clear" w:color="auto" w:fill="CAA04C"/>
    </w:rPr>
  </w:style>
  <w:style w:type="table" w:customStyle="1" w:styleId="skn-mlo1top-sectionleft-box">
    <w:name w:val="skn-mlo1_top-section_left-box"/>
    <w:basedOn w:val="TableNormal"/>
    <w:tblPr/>
  </w:style>
  <w:style w:type="character" w:customStyle="1" w:styleId="skn-mlo1mid-sectionleft-box">
    <w:name w:val="skn-mlo1_mid-section_left-box"/>
    <w:basedOn w:val="DefaultParagraphFont"/>
  </w:style>
  <w:style w:type="paragraph" w:customStyle="1" w:styleId="skn-mlo1mid-sectionleft-boxsectionnth-child1">
    <w:name w:val="skn-mlo1_mid-section_left-box_section_nth-child(1)"/>
    <w:basedOn w:val="Normal"/>
  </w:style>
  <w:style w:type="paragraph" w:customStyle="1" w:styleId="skn-mlo1heading">
    <w:name w:val="skn-mlo1_heading"/>
    <w:basedOn w:val="Normal"/>
  </w:style>
  <w:style w:type="paragraph" w:customStyle="1" w:styleId="skn-mlo1sectiontitle">
    <w:name w:val="skn-mlo1_sectiontitle"/>
    <w:basedOn w:val="Normal"/>
    <w:pPr>
      <w:spacing w:line="300" w:lineRule="atLeast"/>
    </w:pPr>
    <w:rPr>
      <w:b/>
      <w:bCs/>
      <w:caps/>
      <w:color w:val="CAA04C"/>
      <w:spacing w:val="12"/>
      <w:sz w:val="24"/>
      <w:szCs w:val="24"/>
    </w:rPr>
  </w:style>
  <w:style w:type="paragraph" w:customStyle="1" w:styleId="skn-mlo1mid-sectionleft-boxparagraph">
    <w:name w:val="skn-mlo1_mid-section_left-box_paragraph"/>
    <w:basedOn w:val="Normal"/>
    <w:pPr>
      <w:pBdr>
        <w:left w:val="none" w:sz="0" w:space="0" w:color="auto"/>
      </w:pBdr>
    </w:pPr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mlo1mid-sectionsection">
    <w:name w:val="skn-mlo1_mid-section_section"/>
    <w:basedOn w:val="Normal"/>
  </w:style>
  <w:style w:type="paragraph" w:customStyle="1" w:styleId="skn-mlo1disp-block">
    <w:name w:val="skn-mlo1_disp-block"/>
    <w:basedOn w:val="Normal"/>
  </w:style>
  <w:style w:type="character" w:customStyle="1" w:styleId="skn-mlo1clr-pickr">
    <w:name w:val="skn-mlo1_clr-pickr"/>
    <w:basedOn w:val="DefaultParagraphFont"/>
    <w:rPr>
      <w:color w:val="CAA04C"/>
    </w:rPr>
  </w:style>
  <w:style w:type="character" w:customStyle="1" w:styleId="skn-mlo1sprtr">
    <w:name w:val="skn-mlo1_sprtr"/>
    <w:basedOn w:val="DefaultParagraphFont"/>
    <w:rPr>
      <w:rFonts w:ascii="Arial" w:eastAsia="Arial" w:hAnsi="Arial" w:cs="Arial"/>
      <w:color w:val="696969"/>
      <w:sz w:val="25"/>
      <w:szCs w:val="25"/>
    </w:rPr>
  </w:style>
  <w:style w:type="paragraph" w:customStyle="1" w:styleId="skn-mlo1ulli">
    <w:name w:val="skn-mlo1_ul_li"/>
    <w:basedOn w:val="Normal"/>
    <w:pPr>
      <w:pBdr>
        <w:left w:val="none" w:sz="0" w:space="9" w:color="auto"/>
      </w:pBdr>
    </w:pPr>
  </w:style>
  <w:style w:type="paragraph" w:customStyle="1" w:styleId="skn-mlo1edu-secparagraphfirstparagraph">
    <w:name w:val="skn-mlo1_edu-sec_paragraph_firstparagraph"/>
    <w:basedOn w:val="Normal"/>
    <w:pPr>
      <w:pBdr>
        <w:top w:val="none" w:sz="0" w:space="0" w:color="auto"/>
      </w:pBdr>
    </w:pPr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skn-mlo1detail-txt">
    <w:name w:val="skn-mlo1_detail-txt"/>
    <w:basedOn w:val="DefaultParagraphFont"/>
    <w:rPr>
      <w:sz w:val="22"/>
      <w:szCs w:val="22"/>
    </w:rPr>
  </w:style>
  <w:style w:type="character" w:customStyle="1" w:styleId="skn-mlo1txt-boldCharacter">
    <w:name w:val="skn-mlo1_txt-bold Character"/>
    <w:basedOn w:val="DefaultParagraphFont"/>
    <w:rPr>
      <w:b/>
      <w:bCs/>
    </w:rPr>
  </w:style>
  <w:style w:type="paragraph" w:customStyle="1" w:styleId="skn-mlo1firstparagraph">
    <w:name w:val="skn-mlo1_firstparagraph"/>
    <w:basedOn w:val="Normal"/>
    <w:pPr>
      <w:pBdr>
        <w:top w:val="none" w:sz="0" w:space="0" w:color="auto"/>
      </w:pBdr>
    </w:pPr>
  </w:style>
  <w:style w:type="paragraph" w:customStyle="1" w:styleId="skn-mlo1sectionreference-secparagraphref-upon-request">
    <w:name w:val="skn-mlo1_section_reference-sec_paragraph_ref-upon-request"/>
    <w:basedOn w:val="Normal"/>
  </w:style>
  <w:style w:type="paragraph" w:customStyle="1" w:styleId="skn-mlo1mid-sectionleft-boxParagraph0">
    <w:name w:val="skn-mlo1_mid-section_left-box Paragraph"/>
    <w:basedOn w:val="Normal"/>
  </w:style>
  <w:style w:type="character" w:customStyle="1" w:styleId="skn-mlo1mid-sectionright-box">
    <w:name w:val="skn-mlo1_mid-section_right-box"/>
    <w:basedOn w:val="DefaultParagraphFont"/>
  </w:style>
  <w:style w:type="paragraph" w:customStyle="1" w:styleId="skn-mlo1mid-sectionright-boxsectionnth-child1">
    <w:name w:val="skn-mlo1_mid-section_right-box_section_nth-child(1)"/>
    <w:basedOn w:val="Normal"/>
  </w:style>
  <w:style w:type="character" w:customStyle="1" w:styleId="skn-mlo1ico-svg">
    <w:name w:val="skn-mlo1_ico-svg"/>
    <w:basedOn w:val="DefaultParagraphFont"/>
  </w:style>
  <w:style w:type="character" w:customStyle="1" w:styleId="skn-mlo1ico-txt">
    <w:name w:val="skn-mlo1_ico-txt"/>
    <w:basedOn w:val="DefaultParagraphFont"/>
  </w:style>
  <w:style w:type="table" w:customStyle="1" w:styleId="skn-mlo1icon-row">
    <w:name w:val="skn-mlo1_icon-row"/>
    <w:basedOn w:val="TableNormal"/>
    <w:tblPr/>
  </w:style>
  <w:style w:type="table" w:customStyle="1" w:styleId="skn-mlo1icon-rownth-last-child1">
    <w:name w:val="skn-mlo1_icon-row_nth-last-child(1)"/>
    <w:basedOn w:val="TableNormal"/>
    <w:tblPr/>
  </w:style>
  <w:style w:type="paragraph" w:customStyle="1" w:styleId="skn-mlo1right-boxsinglecolumn">
    <w:name w:val="skn-mlo1_right-box_singlecolumn"/>
    <w:basedOn w:val="Normal"/>
  </w:style>
  <w:style w:type="table" w:customStyle="1" w:styleId="skn-mlo1mid-section">
    <w:name w:val="skn-mlo1_mid-section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header" Target="header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Ritika Mehta</dc:title>
  <cp:revision>0</cp:revision>
</cp:coreProperties>
</file>