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1top-sectionleft-box"/>
        <w:tblW w:w="0" w:type="auto"/>
        <w:tblCellSpacing w:w="0" w:type="dxa"/>
        <w:shd w:val="clear" w:color="auto" w:fill="454545"/>
        <w:tblLayout w:type="fixed"/>
        <w:tblCellMar>
          <w:top w:w="0" w:type="dxa"/>
          <w:left w:w="0" w:type="dxa"/>
          <w:bottom w:w="0" w:type="dxa"/>
          <w:right w:w="0" w:type="dxa"/>
        </w:tblCellMar>
        <w:tblLook w:val="05E0"/>
      </w:tblPr>
      <w:tblGrid>
        <w:gridCol w:w="12240"/>
      </w:tblGrid>
      <w:tr>
        <w:tblPrEx>
          <w:tblW w:w="0" w:type="auto"/>
          <w:tblCellSpacing w:w="0" w:type="dxa"/>
          <w:shd w:val="clear" w:color="auto" w:fill="454545"/>
          <w:tblLayout w:type="fixed"/>
          <w:tblCellMar>
            <w:top w:w="0" w:type="dxa"/>
            <w:left w:w="0" w:type="dxa"/>
            <w:bottom w:w="0" w:type="dxa"/>
            <w:right w:w="0" w:type="dxa"/>
          </w:tblCellMar>
          <w:tblLook w:val="05E0"/>
        </w:tblPrEx>
        <w:trPr>
          <w:tblCellSpacing w:w="0" w:type="dxa"/>
        </w:trPr>
        <w:tc>
          <w:tcPr>
            <w:tcW w:w="12240" w:type="dxa"/>
            <w:shd w:val="clear" w:color="auto" w:fill="454545"/>
            <w:tcMar>
              <w:top w:w="0" w:type="dxa"/>
              <w:left w:w="0" w:type="dxa"/>
              <w:bottom w:w="420" w:type="dxa"/>
              <w:right w:w="0" w:type="dxa"/>
            </w:tcMar>
            <w:vAlign w:val="center"/>
            <w:hideMark/>
          </w:tcPr>
          <w:p>
            <w:pPr>
              <w:pStyle w:val="skn-mlo1name"/>
              <w:pBdr>
                <w:top w:val="none" w:sz="0" w:space="0" w:color="auto"/>
                <w:left w:val="none" w:sz="0" w:space="0" w:color="auto"/>
                <w:bottom w:val="none" w:sz="0" w:space="6" w:color="auto"/>
                <w:right w:val="none" w:sz="0" w:space="0" w:color="auto"/>
              </w:pBdr>
              <w:spacing w:before="0" w:after="0"/>
              <w:ind w:left="360" w:right="360"/>
              <w:jc w:val="center"/>
              <w:rPr>
                <w:rStyle w:val="skn-mlo1top-sectionleft-boxname-sec"/>
                <w:rFonts w:ascii="Open Sans" w:eastAsia="Open Sans" w:hAnsi="Open Sans" w:cs="Open Sans"/>
                <w:caps/>
                <w:color w:val="FFFFFF"/>
                <w:sz w:val="48"/>
                <w:szCs w:val="48"/>
                <w:bdr w:val="none" w:sz="0" w:space="0" w:color="auto"/>
                <w:shd w:val="clear" w:color="auto" w:fill="auto"/>
                <w:vertAlign w:val="baseline"/>
              </w:rPr>
            </w:pPr>
            <w:r>
              <w:rPr>
                <w:rStyle w:val="span"/>
                <w:rFonts w:ascii="Open Sans" w:eastAsia="Open Sans" w:hAnsi="Open Sans" w:cs="Open Sans"/>
                <w:caps/>
              </w:rPr>
              <w:t>Ritu</w:t>
            </w:r>
            <w:r>
              <w:rPr>
                <w:rStyle w:val="skn-mlo1top-sectionleft-boxname-sec"/>
                <w:rFonts w:ascii="Open Sans" w:eastAsia="Open Sans" w:hAnsi="Open Sans" w:cs="Open Sans"/>
                <w:caps/>
                <w:bdr w:val="none" w:sz="0" w:space="0" w:color="auto"/>
                <w:shd w:val="clear" w:color="auto" w:fill="auto"/>
                <w:vertAlign w:val="baseline"/>
              </w:rPr>
              <w:t xml:space="preserve"> </w:t>
            </w:r>
            <w:r>
              <w:rPr>
                <w:rStyle w:val="span"/>
                <w:rFonts w:ascii="Open Sans" w:eastAsia="Open Sans" w:hAnsi="Open Sans" w:cs="Open Sans"/>
                <w:caps/>
              </w:rPr>
              <w:t>Sharma</w:t>
            </w:r>
            <w:r>
              <w:pict>
                <v:rect id="_x0000_s1025" style="width:226pt;height:11in;margin-top:0;margin-left:386pt;mso-position-horizontal-relative:page;mso-position-vertical-relative:page;position:absolute;z-index:-251658240" o:allowincell="f" fillcolor="#f9f9f9" stroked="f">
                  <v:path strokeok="f"/>
                </v:rect>
              </w:pict>
            </w:r>
          </w:p>
          <w:p>
            <w:pPr>
              <w:pStyle w:val="name-svg"/>
              <w:pBdr>
                <w:top w:val="none" w:sz="0" w:space="0" w:color="auto"/>
                <w:left w:val="none" w:sz="0" w:space="0" w:color="auto"/>
                <w:bottom w:val="none" w:sz="0" w:space="0" w:color="auto"/>
                <w:right w:val="none" w:sz="0" w:space="0" w:color="auto"/>
              </w:pBdr>
              <w:spacing w:before="0" w:after="0"/>
              <w:ind w:left="360" w:right="360"/>
              <w:jc w:val="center"/>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rStyle w:val="skn-mlo1top-sectionleft-boxname-sec"/>
                <w:rFonts w:ascii="Open Sans" w:eastAsia="Open Sans" w:hAnsi="Open Sans" w:cs="Open Sans"/>
                <w:color w:val="050505"/>
                <w:sz w:val="20"/>
                <w:szCs w:val="20"/>
                <w:bdr w:val="none" w:sz="0" w:space="0" w:color="auto"/>
                <w:shd w:val="clear" w:color="auto" w:fill="auto"/>
                <w:vertAlign w:val="baseline"/>
              </w:rPr>
              <w:drawing>
                <wp:inline>
                  <wp:extent cx="850473"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850473" cy="13318"/>
                          </a:xfrm>
                          <a:prstGeom prst="rect">
                            <a:avLst/>
                          </a:prstGeom>
                        </pic:spPr>
                      </pic:pic>
                    </a:graphicData>
                  </a:graphic>
                </wp:inline>
              </w:drawing>
            </w:r>
          </w:p>
          <w:p>
            <w:pPr>
              <w:pStyle w:val="skn-mlo1txt-bold"/>
              <w:pBdr>
                <w:top w:val="none" w:sz="0" w:space="12" w:color="auto"/>
                <w:left w:val="none" w:sz="0" w:space="0" w:color="auto"/>
                <w:bottom w:val="none" w:sz="0" w:space="0" w:color="auto"/>
                <w:right w:val="none" w:sz="0" w:space="0" w:color="auto"/>
              </w:pBdr>
              <w:spacing w:before="0" w:after="0" w:line="300" w:lineRule="atLeast"/>
              <w:ind w:left="360" w:right="360"/>
              <w:jc w:val="center"/>
              <w:rPr>
                <w:rStyle w:val="skn-mlo1top-sectionleft-boxname-sec"/>
                <w:rFonts w:ascii="Open Sans" w:eastAsia="Open Sans" w:hAnsi="Open Sans" w:cs="Open Sans"/>
                <w:b/>
                <w:bCs/>
                <w:caps/>
                <w:color w:val="FFFFFF"/>
                <w:spacing w:val="19"/>
                <w:bdr w:val="none" w:sz="0" w:space="0" w:color="auto"/>
                <w:shd w:val="clear" w:color="auto" w:fill="auto"/>
                <w:vertAlign w:val="baseline"/>
              </w:rPr>
            </w:pPr>
            <w:r>
              <w:rPr>
                <w:rStyle w:val="span"/>
                <w:rFonts w:ascii="Open Sans" w:eastAsia="Open Sans" w:hAnsi="Open Sans" w:cs="Open Sans"/>
                <w:b/>
                <w:bCs/>
                <w:caps/>
                <w:color w:val="FFFFFF"/>
                <w:spacing w:val="19"/>
              </w:rPr>
              <w:t>Healthcare Compliance Officer</w:t>
            </w:r>
          </w:p>
          <w:p>
            <w:pPr>
              <w:pStyle w:val="skn-mlo1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tLeast"/>
              <w:ind w:left="0" w:right="0"/>
              <w:textAlignment w:val="auto"/>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r>
              <w:pict>
                <v:rect id="_x0000_s1026" style="width:612pt;height:23pt;margin-top:0;margin-left:0;mso-position-horizontal-relative:page;mso-position-vertical-relative:page;position:absolute;z-index:251659264" o:allowincell="f" fillcolor="#454545" stroked="f">
                  <v:path strokeok="f"/>
                </v:rect>
              </w:pict>
            </w:r>
          </w:p>
        </w:tc>
      </w:tr>
    </w:tbl>
    <w:p>
      <w:pPr>
        <w:rPr>
          <w:vanish/>
        </w:rPr>
      </w:pPr>
    </w:p>
    <w:tbl>
      <w:tblPr>
        <w:tblStyle w:val="skn-mlo1mid-section"/>
        <w:tblW w:w="0" w:type="auto"/>
        <w:tblCellSpacing w:w="0" w:type="dxa"/>
        <w:tblInd w:w="0" w:type="dxa"/>
        <w:tblLayout w:type="fixed"/>
        <w:tblCellMar>
          <w:top w:w="0" w:type="dxa"/>
          <w:left w:w="340" w:type="dxa"/>
          <w:bottom w:w="0" w:type="dxa"/>
          <w:right w:w="0" w:type="dxa"/>
        </w:tblCellMar>
        <w:tblLook w:val="05E0"/>
      </w:tblPr>
      <w:tblGrid>
        <w:gridCol w:w="7720"/>
        <w:gridCol w:w="4520"/>
      </w:tblGrid>
      <w:tr>
        <w:tblPrEx>
          <w:tblW w:w="0" w:type="auto"/>
          <w:tblCellSpacing w:w="0" w:type="dxa"/>
          <w:tblInd w:w="0" w:type="dxa"/>
          <w:tblLayout w:type="fixed"/>
          <w:tblCellMar>
            <w:top w:w="0" w:type="dxa"/>
            <w:left w:w="340" w:type="dxa"/>
            <w:bottom w:w="0" w:type="dxa"/>
            <w:right w:w="0" w:type="dxa"/>
          </w:tblCellMar>
          <w:tblLook w:val="05E0"/>
        </w:tblPrEx>
        <w:trPr>
          <w:tblCellSpacing w:w="0" w:type="dxa"/>
        </w:trPr>
        <w:tc>
          <w:tcPr>
            <w:tcW w:w="7720" w:type="dxa"/>
            <w:tcMar>
              <w:top w:w="0" w:type="dxa"/>
              <w:left w:w="0" w:type="dxa"/>
              <w:bottom w:w="0" w:type="dxa"/>
              <w:right w:w="48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kn-mlo1mid-sectionleft-box"/>
                <w:rFonts w:ascii="Open Sans" w:eastAsia="Open Sans" w:hAnsi="Open Sans" w:cs="Open Sans"/>
                <w:color w:val="050505"/>
                <w:sz w:val="22"/>
                <w:szCs w:val="22"/>
                <w:bdr w:val="none" w:sz="0" w:space="0" w:color="auto"/>
                <w:vertAlign w:val="baseline"/>
              </w:rPr>
              <w:t>Experienced in healthcare compliance management, skilled in aligning operations with regulations and conducting internal audits. Proven ability to develop policies, manage documentation, and train staff on compliance requirements. Seeking to leverage expertise in risk assessment and regulatory reporting as a Healthcare Compliance Officer.</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Experience</w:t>
            </w:r>
          </w:p>
          <w:p>
            <w:pPr>
              <w:pStyle w:val="skn-mlo1txt-bold"/>
              <w:pBdr>
                <w:top w:val="none" w:sz="0" w:space="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Healthcare Compliance Manager</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54545"/>
                <w:sz w:val="22"/>
                <w:szCs w:val="22"/>
              </w:rPr>
              <w:t>April 2019</w:t>
            </w:r>
            <w:r>
              <w:rPr>
                <w:rStyle w:val="span"/>
                <w:rFonts w:ascii="Open Sans" w:eastAsia="Open Sans" w:hAnsi="Open Sans" w:cs="Open Sans"/>
                <w:color w:val="454545"/>
                <w:sz w:val="22"/>
                <w:szCs w:val="22"/>
              </w:rPr>
              <w:t xml:space="preserve"> - </w:t>
            </w:r>
            <w:r>
              <w:rPr>
                <w:rStyle w:val="span"/>
                <w:rFonts w:ascii="Open Sans" w:eastAsia="Open Sans" w:hAnsi="Open Sans" w:cs="Open Sans"/>
                <w:color w:val="454545"/>
                <w:sz w:val="22"/>
                <w:szCs w:val="22"/>
              </w:rPr>
              <w:t>Present</w:t>
            </w:r>
            <w:r>
              <w:rPr>
                <w:rStyle w:val="skn-mlo1sprtr"/>
              </w:rPr>
              <w:t>│</w:t>
            </w:r>
            <w:r>
              <w:rPr>
                <w:rStyle w:val="span"/>
                <w:rFonts w:ascii="Open Sans" w:eastAsia="Open Sans" w:hAnsi="Open Sans" w:cs="Open Sans"/>
                <w:color w:val="050505"/>
                <w:sz w:val="22"/>
                <w:szCs w:val="22"/>
              </w:rPr>
              <w:t>Apex Multispeciality Hospital</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Delhi</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hospital-wide compliance programs aligning operations with national healthcare regulations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internal audits to identify gaps and recommend corrective compliance actions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compliance policies and updated procedures based on regulatory changes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Trained clinical and non-clinical staff on ethical and compliance requirements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legal teams during inspections and external regulatory audits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compliance documentation ensuring timely reporting and accurate recordkeeping</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Compliance Officer</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54545"/>
                <w:sz w:val="22"/>
                <w:szCs w:val="22"/>
              </w:rPr>
              <w:t>January 2016</w:t>
            </w:r>
            <w:r>
              <w:rPr>
                <w:rStyle w:val="span"/>
                <w:rFonts w:ascii="Open Sans" w:eastAsia="Open Sans" w:hAnsi="Open Sans" w:cs="Open Sans"/>
                <w:color w:val="454545"/>
                <w:sz w:val="22"/>
                <w:szCs w:val="22"/>
              </w:rPr>
              <w:t xml:space="preserve"> - </w:t>
            </w:r>
            <w:r>
              <w:rPr>
                <w:rStyle w:val="span"/>
                <w:rFonts w:ascii="Open Sans" w:eastAsia="Open Sans" w:hAnsi="Open Sans" w:cs="Open Sans"/>
                <w:color w:val="454545"/>
                <w:sz w:val="22"/>
                <w:szCs w:val="22"/>
              </w:rPr>
              <w:t>March 2019</w:t>
            </w:r>
            <w:r>
              <w:rPr>
                <w:rStyle w:val="skn-mlo1sprtr"/>
              </w:rPr>
              <w:t>│</w:t>
            </w:r>
            <w:r>
              <w:rPr>
                <w:rStyle w:val="span"/>
                <w:rFonts w:ascii="Open Sans" w:eastAsia="Open Sans" w:hAnsi="Open Sans" w:cs="Open Sans"/>
                <w:color w:val="050505"/>
                <w:sz w:val="22"/>
                <w:szCs w:val="22"/>
              </w:rPr>
              <w:t>CarePlus Health Network</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Gurugram</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compliance audits across departments to ensure adherence to healthcare standards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patient data handling processes to maintain privacy and confidentiality compliance</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preparing regulatory reports for health authorities and accreditation bodies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incident reports and recommended corrective preventive actions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Updated compliance manuals reflecting changes in healthcare laws and guidelines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management to strengthen internal compliance controls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Bachelor of Hospital Administration</w:t>
            </w:r>
            <w:r>
              <w:rPr>
                <w:rStyle w:val="skn-mlo1txt-boldCharacter"/>
                <w:rFonts w:ascii="Open Sans" w:eastAsia="Open Sans" w:hAnsi="Open Sans" w:cs="Open Sans"/>
                <w:b/>
                <w:bCs/>
                <w:color w:val="050505"/>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Manipal Academy of Higher Education</w:t>
            </w:r>
            <w:r>
              <w:rPr>
                <w:rStyle w:val="skn-mlo1space-bw"/>
                <w:rFonts w:ascii="Open Sans" w:eastAsia="Open Sans" w:hAnsi="Open Sans" w:cs="Open Sans"/>
                <w:color w:val="050505"/>
                <w:sz w:val="20"/>
                <w:szCs w:val="20"/>
              </w:rPr>
              <w:t>, </w:t>
            </w:r>
            <w:r>
              <w:rPr>
                <w:rStyle w:val="span"/>
                <w:rFonts w:ascii="Open Sans" w:eastAsia="Open Sans" w:hAnsi="Open Sans" w:cs="Open Sans"/>
                <w:color w:val="050505"/>
                <w:sz w:val="20"/>
                <w:szCs w:val="20"/>
              </w:rPr>
              <w:t>Karnataka</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Certifications</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Healthcare Compliance Professional (CHCP)</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Healthcare Risk Management Certification</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Personal Information</w:t>
            </w:r>
          </w:p>
          <w:p>
            <w:pPr>
              <w:pStyle w:val="skn-mlo1ulli"/>
              <w:numPr>
                <w:ilvl w:val="0"/>
                <w:numId w:val="4"/>
              </w:numPr>
              <w:pBdr>
                <w:top w:val="none" w:sz="0" w:space="0" w:color="auto"/>
                <w:left w:val="none" w:sz="0" w:space="0" w:color="auto"/>
                <w:bottom w:val="none" w:sz="0" w:space="0" w:color="auto"/>
                <w:right w:val="none" w:sz="0" w:space="0" w:color="auto"/>
              </w:pBd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Total Experience: 9 Years</w:t>
            </w:r>
          </w:p>
          <w:p>
            <w:pPr>
              <w:pStyle w:val="skn-mlo1ulli"/>
              <w:numPr>
                <w:ilvl w:val="0"/>
                <w:numId w:val="4"/>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Gender: Female</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Accomplishments</w:t>
            </w:r>
          </w:p>
          <w:p>
            <w:pPr>
              <w:pStyle w:val="skn-mlo1ulli"/>
              <w:numPr>
                <w:ilvl w:val="0"/>
                <w:numId w:val="5"/>
              </w:numPr>
              <w:pBdr>
                <w:top w:val="none" w:sz="0" w:space="0" w:color="auto"/>
                <w:left w:val="none" w:sz="0" w:space="0" w:color="auto"/>
                <w:bottom w:val="none" w:sz="0" w:space="0" w:color="auto"/>
                <w:right w:val="none" w:sz="0" w:space="0" w:color="auto"/>
              </w:pBd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Reduced audit non-compliance findings through structured internal review processes</w:t>
            </w:r>
          </w:p>
          <w:p>
            <w:pPr>
              <w:pStyle w:val="skn-mlo1ulli"/>
              <w:numPr>
                <w:ilvl w:val="0"/>
                <w:numId w:val="5"/>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Successfully supported hospital accreditation compliance requirements</w:t>
            </w:r>
          </w:p>
          <w:p>
            <w:pPr>
              <w:pStyle w:val="skn-mlo1ulli"/>
              <w:numPr>
                <w:ilvl w:val="0"/>
                <w:numId w:val="5"/>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Recognized for effective compliance training and awareness programs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Projects</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Implemented compliance monitoring framework to improve audit readiness scores Led documentation standardization project across clinical and administrative departments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References</w:t>
            </w:r>
          </w:p>
          <w:p>
            <w:pPr>
              <w:pStyle w:val="skn-mlo1sectionreference-secparagraphref-upon-request"/>
              <w:pBdr>
                <w:top w:val="none" w:sz="0" w:space="0" w:color="auto"/>
                <w:left w:val="none" w:sz="0" w:space="0" w:color="auto"/>
                <w:bottom w:val="none" w:sz="0" w:space="0" w:color="auto"/>
                <w:right w:val="none" w:sz="0" w:space="0" w:color="auto"/>
              </w:pBdr>
              <w:spacing w:before="0" w:after="0" w:line="260" w:lineRule="atLeast"/>
              <w:ind w:left="340" w:right="0"/>
              <w:textAlignment w:val="top"/>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p>
            <w:pPr>
              <w:pStyle w:val="skn-mlo1mid-sectionleft-boxParagraph0"/>
              <w:pBdr>
                <w:top w:val="none" w:sz="0" w:space="0" w:color="auto"/>
                <w:left w:val="none" w:sz="0" w:space="0" w:color="auto"/>
                <w:bottom w:val="none" w:sz="0" w:space="0" w:color="auto"/>
                <w:right w:val="none" w:sz="0" w:space="0" w:color="auto"/>
              </w:pBdr>
              <w:spacing w:line="20" w:lineRule="exact"/>
              <w:ind w:left="340" w:right="0"/>
              <w:textAlignment w:val="auto"/>
              <w:rPr>
                <w:rStyle w:val="skn-mlo1mid-sectionleft-box"/>
                <w:rFonts w:ascii="Open Sans" w:eastAsia="Open Sans" w:hAnsi="Open Sans" w:cs="Open Sans"/>
                <w:color w:val="050505"/>
                <w:sz w:val="20"/>
                <w:szCs w:val="20"/>
                <w:bdr w:val="none" w:sz="0" w:space="0" w:color="auto"/>
                <w:vertAlign w:val="baseline"/>
              </w:rPr>
            </w:pPr>
          </w:p>
        </w:tc>
        <w:tc>
          <w:tcPr>
            <w:tcW w:w="4520" w:type="dxa"/>
            <w:tcMar>
              <w:top w:w="0" w:type="dxa"/>
              <w:left w:w="0" w:type="dxa"/>
              <w:bottom w:w="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380" w:line="260" w:lineRule="atLeast"/>
              <w:ind w:left="340" w:right="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strike w:val="0"/>
                <w:color w:val="050505"/>
                <w:sz w:val="20"/>
                <w:szCs w:val="20"/>
                <w:u w:val="none"/>
              </w:rPr>
              <w:drawing>
                <wp:inline>
                  <wp:extent cx="990600" cy="9906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990600" cy="990600"/>
                          </a:xfrm>
                          <a:prstGeom prst="rect">
                            <a:avLst/>
                          </a:prstGeom>
                          <a:ln>
                            <a:noFill/>
                          </a:ln>
                        </pic:spPr>
                      </pic:pic>
                    </a:graphicData>
                  </a:graphic>
                </wp:inline>
              </w:drawing>
            </w:r>
            <w:r>
              <w:rPr>
                <w:rStyle w:val="skn-mlo1mid-sectionright-box"/>
                <w:rFonts w:ascii="Open Sans" w:eastAsia="Open Sans" w:hAnsi="Open Sans" w:cs="Open Sans"/>
                <w:color w:val="050505"/>
                <w:sz w:val="20"/>
                <w:szCs w:val="20"/>
                <w:bdr w:val="none" w:sz="0" w:space="0" w:color="auto"/>
                <w:vertAlign w:val="baseline"/>
              </w:rPr>
              <w:t xml:space="preserve"> </w:t>
            </w:r>
            <w:r>
              <w:pict>
                <v:oval id="_x0000_s1027" style="width:70pt;height:70pt;margin-top:17pt;margin-left:19pt;position:absolute;z-index:251660288" stroked="f"/>
              </w:pict>
            </w:r>
            <w:r>
              <w:pict>
                <v:oval id="_x0000_s1028" style="width:64pt;height:64pt;margin-top:20pt;margin-left:22pt;position:absolute;z-index:251661312" filled="t" stroked="f">
                  <v:fill r:id="rId6" o:title="" type="frame"/>
                </v:oval>
              </w:pic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right-box"/>
                <w:rFonts w:ascii="Open Sans" w:eastAsia="Open Sans" w:hAnsi="Open Sans" w:cs="Open Sans"/>
                <w:color w:val="050505"/>
                <w:sz w:val="20"/>
                <w:szCs w:val="20"/>
                <w:bdr w:val="none" w:sz="0" w:space="0" w:color="auto"/>
                <w:vertAlign w:val="baseline"/>
              </w:rPr>
            </w:pPr>
          </w:p>
          <w:p>
            <w:pPr>
              <w:pStyle w:val="skn-mlo1sectiontitle"/>
              <w:pBdr>
                <w:top w:val="none" w:sz="0" w:space="0" w:color="auto"/>
                <w:left w:val="none" w:sz="0" w:space="0" w:color="auto"/>
                <w:bottom w:val="none" w:sz="0" w:space="0" w:color="auto"/>
                <w:right w:val="none" w:sz="0" w:space="0" w:color="auto"/>
              </w:pBdr>
              <w:spacing w:before="300" w:after="240"/>
              <w:ind w:left="340" w:right="0"/>
              <w:rPr>
                <w:rStyle w:val="skn-mlo1mid-sectionright-box"/>
                <w:rFonts w:ascii="Open Sans" w:eastAsia="Open Sans" w:hAnsi="Open Sans" w:cs="Open Sans"/>
                <w:b/>
                <w:bCs/>
                <w:caps/>
                <w:color w:val="454545"/>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Contact</w:t>
            </w: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1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ritu.sharma@example.com</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New Delhi</w:t>
                  </w:r>
                  <w:r>
                    <w:rPr>
                      <w:rStyle w:val="span"/>
                      <w:rFonts w:ascii="Open Sans" w:eastAsia="Open Sans" w:hAnsi="Open Sans" w:cs="Open Sans"/>
                      <w:color w:val="050505"/>
                      <w:sz w:val="20"/>
                      <w:szCs w:val="20"/>
                    </w:rPr>
                    <w:t>,</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Delhi</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110024</w:t>
                  </w:r>
                </w:p>
              </w:tc>
            </w:tr>
          </w:tbl>
          <w:p>
            <w:pPr>
              <w:rPr>
                <w:vanish/>
              </w:rPr>
            </w:pPr>
          </w:p>
          <w:tbl>
            <w:tblPr>
              <w:tblStyle w:val="skn-mlo1icon-rownth-last-child1"/>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10"/>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14 July 1987</w:t>
                  </w:r>
                </w:p>
              </w:tc>
            </w:tr>
          </w:tbl>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right-box"/>
                <w:rFonts w:ascii="Open Sans" w:eastAsia="Open Sans" w:hAnsi="Open Sans" w:cs="Open Sans"/>
                <w:b/>
                <w:bCs/>
                <w:caps/>
                <w:color w:val="454545"/>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Skills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Healthcare Regulations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Internal Audits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Policy Development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Risk Assessment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Regulatory Reporting</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Staff Training</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Documentation Management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r>
        <w:pict>
          <v:rect id="_x0000_s1029" style="width:226pt;height:750pt;margin-top:21pt;margin-left:386pt;mso-position-horizontal-relative:page;mso-position-vertical-relative:page;position:absolute;z-index:-251654144" o:allowincell="f" filled="t" fillcolor="this" stroked="f">
            <v:fill opacity="0"/>
            <v:path strokeok="f"/>
          </v:rect>
        </w:pict>
      </w:r>
    </w:p>
    <w:sectPr>
      <w:headerReference w:type="default" r:id="rId11"/>
      <w:pgSz w:w="12240" w:h="15840"/>
      <w:pgMar w:top="420" w:right="0" w:bottom="420" w:left="0" w:header="0" w:footer="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0BCD2C04-0FC8-419B-BABF-4C1A3C4E7B1E}"/>
    <w:embedBold r:id="rId2" w:fontKey="{4E3DB101-4A5C-46D3-B096-EB6EA430D8E7}"/>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386pt;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1pagesize">
    <w:name w:val="skn-mlo1_pagesize"/>
    <w:basedOn w:val="Normal"/>
  </w:style>
  <w:style w:type="paragraph" w:customStyle="1" w:styleId="skn-mlo1top-section">
    <w:name w:val="skn-mlo1_top-section"/>
    <w:basedOn w:val="Normal"/>
    <w:pPr>
      <w:shd w:val="clear" w:color="auto" w:fill="454545"/>
    </w:pPr>
    <w:rPr>
      <w:shd w:val="clear" w:color="auto" w:fill="454545"/>
    </w:rPr>
  </w:style>
  <w:style w:type="character" w:customStyle="1" w:styleId="skn-mlo1top-sectionleft-boxname-sec">
    <w:name w:val="skn-mlo1_top-section_left-box_name-sec"/>
    <w:basedOn w:val="DefaultParagraphFont"/>
    <w:rPr>
      <w:shd w:val="clear" w:color="auto" w:fill="454545"/>
    </w:rPr>
  </w:style>
  <w:style w:type="paragraph" w:customStyle="1" w:styleId="skn-mlo1top-sectionleft-boxname-secdiv">
    <w:name w:val="skn-mlo1_top-section_left-box_name-sec &gt; div"/>
    <w:basedOn w:val="Normal"/>
    <w:pPr>
      <w:pBdr>
        <w:left w:val="none" w:sz="0" w:space="18" w:color="auto"/>
        <w:right w:val="none" w:sz="0" w:space="18" w:color="auto"/>
      </w:pBdr>
    </w:pPr>
  </w:style>
  <w:style w:type="paragraph" w:customStyle="1" w:styleId="skn-mlo1name">
    <w:name w:val="skn-mlo1_name"/>
    <w:basedOn w:val="Normal"/>
    <w:pPr>
      <w:pBdr>
        <w:bottom w:val="none" w:sz="0" w:space="6" w:color="auto"/>
      </w:pBdr>
      <w:spacing w:line="640" w:lineRule="atLeast"/>
    </w:pPr>
    <w:rPr>
      <w:caps/>
      <w:color w:val="FFFFFF"/>
      <w:sz w:val="48"/>
      <w:szCs w:val="48"/>
    </w:rPr>
  </w:style>
  <w:style w:type="character" w:customStyle="1" w:styleId="span">
    <w:name w:val="span"/>
    <w:basedOn w:val="DefaultParagraphFont"/>
    <w:rPr>
      <w:bdr w:val="none" w:sz="0" w:space="0" w:color="auto"/>
      <w:vertAlign w:val="baseline"/>
    </w:rPr>
  </w:style>
  <w:style w:type="paragraph" w:customStyle="1" w:styleId="name-svg">
    <w:name w:val="name-svg"/>
    <w:basedOn w:val="Normal"/>
    <w:pPr>
      <w:spacing w:line="20" w:lineRule="atLeast"/>
    </w:pPr>
  </w:style>
  <w:style w:type="paragraph" w:customStyle="1" w:styleId="skn-mlo1txt-bold">
    <w:name w:val="skn-mlo1_txt-bold"/>
    <w:basedOn w:val="Normal"/>
    <w:rPr>
      <w:b/>
      <w:bCs/>
    </w:rPr>
  </w:style>
  <w:style w:type="paragraph" w:customStyle="1" w:styleId="skn-mlo1top-sectionleft-boxname-secParagraph">
    <w:name w:val="skn-mlo1_top-section_left-box_name-sec Paragraph"/>
    <w:basedOn w:val="Normal"/>
    <w:pPr>
      <w:pBdr>
        <w:top w:val="none" w:sz="0" w:space="0" w:color="auto"/>
        <w:left w:val="none" w:sz="0" w:space="0" w:color="auto"/>
        <w:bottom w:val="none" w:sz="0" w:space="21" w:color="auto"/>
        <w:right w:val="none" w:sz="0" w:space="0" w:color="auto"/>
      </w:pBdr>
      <w:shd w:val="clear" w:color="auto" w:fill="454545"/>
      <w:jc w:val="center"/>
      <w:textAlignment w:val="center"/>
    </w:pPr>
    <w:rPr>
      <w:shd w:val="clear" w:color="auto" w:fill="454545"/>
    </w:rPr>
  </w:style>
  <w:style w:type="table" w:customStyle="1" w:styleId="skn-mlo1top-sectionleft-box">
    <w:name w:val="skn-mlo1_top-section_left-box"/>
    <w:basedOn w:val="TableNormal"/>
    <w:tblPr/>
  </w:style>
  <w:style w:type="character" w:customStyle="1" w:styleId="skn-mlo1mid-sectionleft-box">
    <w:name w:val="skn-mlo1_mid-section_left-box"/>
    <w:basedOn w:val="DefaultParagraphFont"/>
  </w:style>
  <w:style w:type="paragraph" w:customStyle="1" w:styleId="skn-mlo1mid-sectionleft-boxsectionnth-child1">
    <w:name w:val="skn-mlo1_mid-section_left-box_section_nth-child(1)"/>
    <w:basedOn w:val="Normal"/>
  </w:style>
  <w:style w:type="paragraph" w:customStyle="1" w:styleId="skn-mlo1heading">
    <w:name w:val="skn-mlo1_heading"/>
    <w:basedOn w:val="Normal"/>
  </w:style>
  <w:style w:type="paragraph" w:customStyle="1" w:styleId="skn-mlo1sectiontitle">
    <w:name w:val="skn-mlo1_sectiontitle"/>
    <w:basedOn w:val="Normal"/>
    <w:pPr>
      <w:spacing w:line="300" w:lineRule="atLeast"/>
    </w:pPr>
    <w:rPr>
      <w:b/>
      <w:bCs/>
      <w:caps/>
      <w:color w:val="454545"/>
      <w:spacing w:val="12"/>
      <w:sz w:val="24"/>
      <w:szCs w:val="24"/>
    </w:rPr>
  </w:style>
  <w:style w:type="paragraph" w:customStyle="1" w:styleId="skn-mlo1mid-sectionleft-boxparagraph">
    <w:name w:val="skn-mlo1_mid-section_left-box_paragraph"/>
    <w:basedOn w:val="Normal"/>
    <w:pPr>
      <w:pBdr>
        <w:left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1mid-sectionsection">
    <w:name w:val="skn-mlo1_mid-section_section"/>
    <w:basedOn w:val="Normal"/>
  </w:style>
  <w:style w:type="paragraph" w:customStyle="1" w:styleId="skn-mlo1disp-block">
    <w:name w:val="skn-mlo1_disp-block"/>
    <w:basedOn w:val="Normal"/>
  </w:style>
  <w:style w:type="character" w:customStyle="1" w:styleId="skn-mlo1clr-pickr">
    <w:name w:val="skn-mlo1_clr-pickr"/>
    <w:basedOn w:val="DefaultParagraphFont"/>
    <w:rPr>
      <w:color w:val="454545"/>
    </w:rPr>
  </w:style>
  <w:style w:type="character" w:customStyle="1" w:styleId="skn-mlo1sprtr">
    <w:name w:val="skn-mlo1_sprtr"/>
    <w:basedOn w:val="DefaultParagraphFont"/>
    <w:rPr>
      <w:rFonts w:ascii="Arial" w:eastAsia="Arial" w:hAnsi="Arial" w:cs="Arial"/>
      <w:color w:val="696969"/>
      <w:sz w:val="25"/>
      <w:szCs w:val="25"/>
    </w:rPr>
  </w:style>
  <w:style w:type="paragraph" w:customStyle="1" w:styleId="skn-mlo1ulli">
    <w:name w:val="skn-mlo1_ul_li"/>
    <w:basedOn w:val="Normal"/>
    <w:pPr>
      <w:pBdr>
        <w:left w:val="none" w:sz="0" w:space="9" w:color="auto"/>
      </w:pBdr>
    </w:pPr>
  </w:style>
  <w:style w:type="paragraph" w:customStyle="1" w:styleId="skn-mlo1edu-secparagraphfirstparagraph">
    <w:name w:val="skn-mlo1_edu-sec_paragraph_first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kn-mlo1detail-txt">
    <w:name w:val="skn-mlo1_detail-txt"/>
    <w:basedOn w:val="DefaultParagraphFont"/>
    <w:rPr>
      <w:sz w:val="22"/>
      <w:szCs w:val="22"/>
    </w:rPr>
  </w:style>
  <w:style w:type="character" w:customStyle="1" w:styleId="skn-mlo1txt-boldCharacter">
    <w:name w:val="skn-mlo1_txt-bold Character"/>
    <w:basedOn w:val="DefaultParagraphFont"/>
    <w:rPr>
      <w:b/>
      <w:bCs/>
    </w:rPr>
  </w:style>
  <w:style w:type="character" w:customStyle="1" w:styleId="skn-mlo1space-bw">
    <w:name w:val="skn-mlo1_space-bw"/>
    <w:basedOn w:val="DefaultParagraphFont"/>
  </w:style>
  <w:style w:type="paragraph" w:customStyle="1" w:styleId="skn-mlo1firstparagraph">
    <w:name w:val="skn-mlo1_firstparagraph"/>
    <w:basedOn w:val="Normal"/>
    <w:pPr>
      <w:pBdr>
        <w:top w:val="none" w:sz="0" w:space="0" w:color="auto"/>
      </w:pBdr>
    </w:pPr>
  </w:style>
  <w:style w:type="paragraph" w:customStyle="1" w:styleId="skn-mlo1sectionreference-secparagraphref-upon-request">
    <w:name w:val="skn-mlo1_section_reference-sec_paragraph_ref-upon-request"/>
    <w:basedOn w:val="Normal"/>
  </w:style>
  <w:style w:type="paragraph" w:customStyle="1" w:styleId="skn-mlo1mid-sectionleft-boxParagraph0">
    <w:name w:val="skn-mlo1_mid-section_left-box Paragraph"/>
    <w:basedOn w:val="Normal"/>
  </w:style>
  <w:style w:type="character" w:customStyle="1" w:styleId="skn-mlo1mid-sectionright-box">
    <w:name w:val="skn-mlo1_mid-section_right-box"/>
    <w:basedOn w:val="DefaultParagraphFont"/>
  </w:style>
  <w:style w:type="paragraph" w:customStyle="1" w:styleId="skn-mlo1mid-sectionright-boxsectionnth-child1">
    <w:name w:val="skn-mlo1_mid-section_right-box_section_nth-child(1)"/>
    <w:basedOn w:val="Normal"/>
  </w:style>
  <w:style w:type="paragraph" w:customStyle="1" w:styleId="skn-mlo1mid-sectionright-boxsectionpict-secsection">
    <w:name w:val="skn-mlo1_mid-section_right-box_section_pict-sec + section"/>
    <w:basedOn w:val="Normal"/>
  </w:style>
  <w:style w:type="character" w:customStyle="1" w:styleId="skn-mlo1ico-svg">
    <w:name w:val="skn-mlo1_ico-svg"/>
    <w:basedOn w:val="DefaultParagraphFont"/>
  </w:style>
  <w:style w:type="character" w:customStyle="1" w:styleId="skn-mlo1ico-txt">
    <w:name w:val="skn-mlo1_ico-txt"/>
    <w:basedOn w:val="DefaultParagraphFont"/>
  </w:style>
  <w:style w:type="table" w:customStyle="1" w:styleId="skn-mlo1icon-row">
    <w:name w:val="skn-mlo1_icon-row"/>
    <w:basedOn w:val="TableNormal"/>
    <w:tblPr/>
  </w:style>
  <w:style w:type="table" w:customStyle="1" w:styleId="skn-mlo1icon-rownth-last-child1">
    <w:name w:val="skn-mlo1_icon-row_nth-last-child(1)"/>
    <w:basedOn w:val="TableNormal"/>
    <w:tblPr/>
  </w:style>
  <w:style w:type="paragraph" w:customStyle="1" w:styleId="skn-mlo1right-boxsinglecolumn">
    <w:name w:val="skn-mlo1_right-box_singlecolumn"/>
    <w:basedOn w:val="Normal"/>
  </w:style>
  <w:style w:type="table" w:customStyle="1" w:styleId="skn-mlo1mid-section">
    <w:name w:val="skn-mlo1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eader" Target="header1.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Sharma</dc:title>
  <cp:revision>0</cp:revision>
</cp:coreProperties>
</file>