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Ritika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Desai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61C1B1"/>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HR Payroll Executive</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61C1B1"/>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ritika.desai.hr@example.com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r>
        <w:rPr>
          <w:rStyle w:val="documentskn-mlo4icon-rownth-last-child1"/>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Surat</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Gujarat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395009</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Professional Summary</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184150</wp:posOffset>
            </wp:positionV>
            <wp:extent cx="7239000" cy="25400"/>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HR professional specializing in payroll processing and statutory compliance, adept at managing complex payroll systems and resolving employee queries efficiently. Proven ability to collaborate with HR teams and streamline payroll operations. Seeking to leverage expertise as an HR Payroll Executive to drive accuracy and efficiency in payroll management.</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Skills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Payroll processing and administration</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Attendance and leave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HRMS and HRIS administration</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Statutory compliance and reporting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Salary structure and CTC breakdowns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Overtime and shift allowance calculations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Payroll reconciliation and error analysis</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Employee query resolution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Full and final settlement processing</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HR documentation and record keeping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Microsoft Excel proficiency</w:t>
            </w:r>
          </w:p>
        </w:tc>
        <w:tc>
          <w:tcPr>
            <w:tcW w:w="5720" w:type="dxa"/>
            <w:tcMar>
              <w:left w:w="0" w:type="dxa"/>
            </w:tcMar>
          </w:tcPr>
          <w:p>
            <w:pPr>
              <w:pStyle w:val="p"/>
              <w:numPr>
                <w:ilvl w:val="0"/>
                <w:numId w:val="1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VLOOKUP and PIVOT functions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validation and accuracy</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Vendor coordination and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Collaboration with finance teams</w:t>
            </w:r>
          </w:p>
        </w:tc>
        <w:tc>
          <w:tcPr>
            <w:tcW w:w="5720"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Collaboration with HR teams</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Experience</w:t>
            </w:r>
            <w:r>
              <w:rPr>
                <w:rStyle w:val="documentheadingpadding"/>
                <w:color w:val="FFFFFF"/>
                <w:shd w:val="clear" w:color="auto" w:fill="61C1B1"/>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43053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Jun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HR Payroll Executive</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AutoDyno Components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Surat</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7"/>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 complete payroll processing for 250+ employees including plant operators and office staff.</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Validate attendance, overtime sheets, shift allowances, and biometric records to ensure accurate salary payments.</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Process payroll inputs such as new joiners, salary revisions, deductions, LOP, recovery, and reimbursements.</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 statutory compliance activities—PF/ESIC registration, challan preparation support, and monthly returns.</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 and update CTC structures, salary slips, and payroll MIS reports for management review.</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 employee payroll queries related to deductions, income tax, attendance, and reimbursements.</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 leave records, maintain HRIS employee master, and ensure accurate documentation.</w:t>
                  </w:r>
                </w:p>
                <w:p>
                  <w:pPr>
                    <w:pStyle w:val="documentskn-mlo4sec-exprulli"/>
                    <w:numPr>
                      <w:ilvl w:val="0"/>
                      <w:numId w:val="17"/>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 F&amp;F settlements including notice period recovery, leave encashment, and final payouts.</w:t>
                  </w:r>
                </w:p>
                <w:p>
                  <w:pPr>
                    <w:pStyle w:val="documentskn-mlo4sec-exprullinth-last-child1"/>
                    <w:numPr>
                      <w:ilvl w:val="0"/>
                      <w:numId w:val="17"/>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 with HR team for policy adherence and payroll audit requirements.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2020</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May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61C1B1"/>
                      <w:sz w:val="20"/>
                      <w:szCs w:val="20"/>
                    </w:rPr>
                    <w:t>HR Assistant (Payroll &amp; Administration)</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Metro Gears Manufacturing</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Surat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payroll preparation including attendance updates and overtime reconciliation.</w:t>
                  </w:r>
                </w:p>
                <w:p>
                  <w:pPr>
                    <w:pStyle w:val="documentskn-mlo4sec-exprulli"/>
                    <w:numPr>
                      <w:ilvl w:val="0"/>
                      <w:numId w:val="1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employee database, personal files, and HR records.</w:t>
                  </w:r>
                </w:p>
                <w:p>
                  <w:pPr>
                    <w:pStyle w:val="documentskn-mlo4sec-exprulli"/>
                    <w:numPr>
                      <w:ilvl w:val="0"/>
                      <w:numId w:val="1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statutory documentation and compliance inspections.</w:t>
                  </w:r>
                </w:p>
                <w:p>
                  <w:pPr>
                    <w:pStyle w:val="documentskn-mlo4sec-exprullinth-last-child1"/>
                    <w:numPr>
                      <w:ilvl w:val="0"/>
                      <w:numId w:val="1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administrative support such as shift scheduling assistance and communication notices.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Education</w:t>
            </w:r>
            <w:r>
              <w:rPr>
                <w:rStyle w:val="documentheadingpadding"/>
                <w:color w:val="FFFFFF"/>
                <w:shd w:val="clear" w:color="auto" w:fill="61C1B1"/>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2193925"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2020</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Bachelor of Commerce (B.Com)</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Veer Narmad South Gujarat University</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2017</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12th</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in</w:t>
            </w:r>
            <w:r>
              <w:rPr>
                <w:rStyle w:val="documentskn-mlo4txt-bold"/>
                <w:rFonts w:ascii="Open Sans" w:eastAsia="Open Sans" w:hAnsi="Open Sans" w:cs="Open Sans"/>
                <w:b/>
                <w:bCs/>
                <w:caps/>
                <w:color w:val="61C1B1"/>
                <w:sz w:val="20"/>
                <w:szCs w:val="20"/>
              </w:rPr>
              <w:t xml:space="preserve"> </w:t>
            </w:r>
            <w:r>
              <w:rPr>
                <w:rStyle w:val="span"/>
                <w:rFonts w:ascii="Open Sans" w:eastAsia="Open Sans" w:hAnsi="Open Sans" w:cs="Open Sans"/>
                <w:b/>
                <w:bCs/>
                <w:caps/>
                <w:color w:val="61C1B1"/>
                <w:spacing w:val="20"/>
                <w:sz w:val="20"/>
                <w:szCs w:val="20"/>
              </w:rPr>
              <w:t>Commerce</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GSHSEB Board</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Jan 2015</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61C1B1"/>
                <w:spacing w:val="20"/>
                <w:sz w:val="20"/>
                <w:szCs w:val="20"/>
              </w:rPr>
            </w:pPr>
            <w:r>
              <w:rPr>
                <w:rStyle w:val="span"/>
                <w:rFonts w:ascii="Open Sans" w:eastAsia="Open Sans" w:hAnsi="Open Sans" w:cs="Open Sans"/>
                <w:b/>
                <w:bCs/>
                <w:caps/>
                <w:color w:val="61C1B1"/>
                <w:spacing w:val="20"/>
                <w:sz w:val="20"/>
                <w:szCs w:val="20"/>
              </w:rPr>
              <w:t>10th</w:t>
            </w:r>
            <w:r>
              <w:rPr>
                <w:rStyle w:val="documentskn-mlo4txt-bold"/>
                <w:rFonts w:ascii="Open Sans" w:eastAsia="Open Sans" w:hAnsi="Open Sans" w:cs="Open Sans"/>
                <w:b/>
                <w:bCs/>
                <w:caps/>
                <w:color w:val="61C1B1"/>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GSHSEB Board</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Certifications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7239000"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74"/>
        <w:gridCol w:w="5766"/>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Certification in Payroll Management &amp; Statutory Compliance</w:t>
            </w:r>
          </w:p>
        </w:tc>
        <w:tc>
          <w:tcPr>
            <w:tcW w:w="5720" w:type="dxa"/>
            <w:tcMar>
              <w:left w:w="0" w:type="dxa"/>
            </w:tcMar>
          </w:tcPr>
          <w:p>
            <w:pPr>
              <w:pStyle w:val="p"/>
              <w:numPr>
                <w:ilvl w:val="0"/>
                <w:numId w:val="2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MS Excel Advanced Training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21"/>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HR Operations &amp; HRMS Certification (Online HR Institute)</w:t>
            </w:r>
          </w:p>
        </w:tc>
        <w:tc>
          <w:tcPr>
            <w:tcW w:w="5720" w:type="dxa"/>
          </w:tcP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Candidate</w:t>
      </w:r>
      <w:r>
        <w:rPr>
          <w:rStyle w:val="documentheadingpadding"/>
          <w:color w:val="FFFFFF"/>
          <w:shd w:val="clear" w:color="auto" w:fill="61C1B1"/>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Ritika Desai, +91 98765 43210, ritika.desai.hr@example.com, A/204 Shree Ram Residency, Surat, Gujarat, 395009</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61C1B1"/>
        </w:rPr>
        <w:t>   </w:t>
      </w:r>
      <w:r>
        <w:rPr>
          <w:rStyle w:val="span"/>
          <w:rFonts w:ascii="Barlow Condensed" w:eastAsia="Barlow Condensed" w:hAnsi="Barlow Condensed" w:cs="Barlow Condensed"/>
          <w:color w:val="FFFFFF"/>
          <w:shd w:val="clear" w:color="auto" w:fill="61C1B1"/>
        </w:rPr>
        <w:t>References</w:t>
      </w:r>
      <w:r>
        <w:rPr>
          <w:rStyle w:val="documentheadingpadding"/>
          <w:color w:val="FFFFFF"/>
          <w:shd w:val="clear" w:color="auto" w:fill="61C1B1"/>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7A1F517-FCF7-4402-BA43-691EAC36A85E}"/>
    <w:embedBold r:id="rId2" w:fontKey="{DB058A4E-B9E7-4BD0-A685-C7F8C845CC83}"/>
  </w:font>
  <w:font w:name="Abel">
    <w:charset w:val="00"/>
    <w:family w:val="auto"/>
    <w:pitch w:val="default"/>
    <w:embedRegular r:id="rId3" w:fontKey="{9434F548-F237-4C6F-B7D4-C9A5BC057E8E}"/>
  </w:font>
  <w:font w:name="Barlow Condensed">
    <w:charset w:val="00"/>
    <w:family w:val="auto"/>
    <w:pitch w:val="default"/>
    <w:embedRegular r:id="rId4" w:fontKey="{34914786-2D54-414A-A9BB-FA124B6C759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61C1B1"/>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61C1B1"/>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twocolsectionparagraph">
    <w:name w:val="document_skn-mlo4_twocolsection_paragraph"/>
    <w:basedOn w:val="Normal"/>
    <w:pPr>
      <w:pBdr>
        <w:top w:val="none" w:sz="0" w:space="0" w:color="auto"/>
      </w:pBdr>
    </w:p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Ritika Desai</dc:title>
  <cp:revision>0</cp:revision>
</cp:coreProperties>
</file>