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top-section"/>
        <w:tblW w:w="0" w:type="auto"/>
        <w:tblCellSpacing w:w="0" w:type="dxa"/>
        <w:tblLayout w:type="fixed"/>
        <w:tblCellMar>
          <w:top w:w="0" w:type="dxa"/>
          <w:left w:w="0" w:type="dxa"/>
          <w:bottom w:w="0" w:type="dxa"/>
          <w:right w:w="0" w:type="dxa"/>
        </w:tblCellMar>
        <w:tblLook w:val="05E0"/>
      </w:tblPr>
      <w:tblGrid>
        <w:gridCol w:w="5720"/>
        <w:gridCol w:w="5720"/>
      </w:tblGrid>
      <w:tr>
        <w:tblPrEx>
          <w:tblW w:w="0" w:type="auto"/>
          <w:tblCellSpacing w:w="0" w:type="dxa"/>
          <w:tblLayout w:type="fixed"/>
          <w:tblCellMar>
            <w:top w:w="0" w:type="dxa"/>
            <w:left w:w="0" w:type="dxa"/>
            <w:bottom w:w="0" w:type="dxa"/>
            <w:right w:w="0" w:type="dxa"/>
          </w:tblCellMar>
          <w:tblLook w:val="05E0"/>
        </w:tblPrEx>
        <w:trPr>
          <w:hidden/>
          <w:tblCellSpacing w:w="0" w:type="dxa"/>
        </w:trPr>
        <w:tc>
          <w:tcPr>
            <w:tcW w:w="5720" w:type="dxa"/>
            <w:tcBorders>
              <w:top w:val="single" w:sz="40" w:space="0" w:color="C0E6E0"/>
              <w:bottom w:val="single" w:sz="40" w:space="0" w:color="C0E6E0"/>
            </w:tcBorders>
            <w:shd w:val="clear" w:color="auto" w:fill="61C1B1"/>
            <w:noWrap w:val="0"/>
            <w:tcMar>
              <w:top w:w="460" w:type="dxa"/>
              <w:left w:w="0" w:type="dxa"/>
              <w:bottom w:w="440" w:type="dxa"/>
              <w:right w:w="0" w:type="dxa"/>
            </w:tcMar>
            <w:vAlign w:val="bottom"/>
            <w:hideMark/>
          </w:tcPr>
          <w:p>
            <w:pPr>
              <w:pStyle w:val="txt-bold"/>
              <w:pBdr>
                <w:top w:val="none" w:sz="0" w:space="0" w:color="auto"/>
                <w:left w:val="none" w:sz="0" w:space="19" w:color="auto"/>
                <w:bottom w:val="none" w:sz="0" w:space="0" w:color="auto"/>
                <w:right w:val="none" w:sz="0" w:space="0" w:color="auto"/>
              </w:pBdr>
              <w:spacing w:before="0" w:after="0" w:line="540" w:lineRule="atLeast"/>
              <w:ind w:left="380" w:right="0"/>
              <w:rPr>
                <w:rStyle w:val="top-sectionleft-box"/>
                <w:rFonts w:ascii="Open Sans" w:eastAsia="Open Sans" w:hAnsi="Open Sans" w:cs="Open Sans"/>
                <w:b/>
                <w:bCs/>
                <w:spacing w:val="26"/>
                <w:sz w:val="44"/>
                <w:szCs w:val="44"/>
                <w:bdr w:val="none" w:sz="0" w:space="0" w:color="auto"/>
                <w:shd w:val="clear" w:color="auto" w:fill="auto"/>
                <w:vertAlign w:val="baseline"/>
              </w:rPr>
            </w:pPr>
            <w:r>
              <w:rPr>
                <w:rStyle w:val="span"/>
                <w:rFonts w:ascii="Open Sans" w:eastAsia="Open Sans" w:hAnsi="Open Sans" w:cs="Open Sans"/>
                <w:b/>
                <w:bCs/>
                <w:color w:val="FFFFFF"/>
                <w:spacing w:val="26"/>
                <w:sz w:val="44"/>
                <w:szCs w:val="44"/>
              </w:rPr>
              <w:t>Amit</w:t>
            </w:r>
            <w:r>
              <w:rPr>
                <w:rStyle w:val="top-sectionleft-box"/>
                <w:rFonts w:ascii="Open Sans" w:eastAsia="Open Sans" w:hAnsi="Open Sans" w:cs="Open Sans"/>
                <w:b/>
                <w:bCs/>
                <w:spacing w:val="26"/>
                <w:sz w:val="44"/>
                <w:szCs w:val="44"/>
                <w:bdr w:val="none" w:sz="0" w:space="0" w:color="auto"/>
                <w:shd w:val="clear" w:color="auto" w:fill="auto"/>
                <w:vertAlign w:val="baseline"/>
              </w:rPr>
              <w:t xml:space="preserve"> </w:t>
            </w:r>
            <w:r>
              <w:rPr>
                <w:rStyle w:val="span"/>
                <w:rFonts w:ascii="Open Sans" w:eastAsia="Open Sans" w:hAnsi="Open Sans" w:cs="Open Sans"/>
                <w:b/>
                <w:bCs/>
                <w:color w:val="FFFFFF"/>
                <w:spacing w:val="26"/>
                <w:sz w:val="44"/>
                <w:szCs w:val="44"/>
              </w:rPr>
              <w:t>Verma</w:t>
            </w:r>
          </w:p>
          <w:p>
            <w:pPr>
              <w:pStyle w:val="txt-bold"/>
              <w:pBdr>
                <w:top w:val="none" w:sz="0" w:space="5" w:color="auto"/>
                <w:left w:val="none" w:sz="0" w:space="0" w:color="auto"/>
                <w:bottom w:val="none" w:sz="0" w:space="0" w:color="auto"/>
                <w:right w:val="none" w:sz="0" w:space="0" w:color="auto"/>
              </w:pBdr>
              <w:spacing w:before="0" w:after="0" w:line="280" w:lineRule="atLeast"/>
              <w:ind w:left="380" w:right="0"/>
              <w:rPr>
                <w:rStyle w:val="top-sectionleft-box"/>
                <w:rFonts w:ascii="Open Sans" w:eastAsia="Open Sans" w:hAnsi="Open Sans" w:cs="Open Sans"/>
                <w:b/>
                <w:bCs/>
                <w:spacing w:val="30"/>
                <w:bdr w:val="none" w:sz="0" w:space="0" w:color="auto"/>
                <w:shd w:val="clear" w:color="auto" w:fill="auto"/>
                <w:vertAlign w:val="baseline"/>
              </w:rPr>
            </w:pPr>
            <w:r>
              <w:rPr>
                <w:rStyle w:val="span"/>
                <w:rFonts w:ascii="Open Sans" w:eastAsia="Open Sans" w:hAnsi="Open Sans" w:cs="Open Sans"/>
                <w:b/>
                <w:bCs/>
                <w:color w:val="FFFFFF"/>
                <w:spacing w:val="30"/>
              </w:rPr>
              <w:t>Enterprise Sales Manager</w:t>
            </w:r>
          </w:p>
          <w:p>
            <w:pPr>
              <w:pStyle w:val="top-sectionleft-boxParagraph"/>
              <w:pBdr>
                <w:top w:val="none" w:sz="0" w:space="0" w:color="auto"/>
                <w:left w:val="none" w:sz="0" w:space="0" w:color="auto"/>
                <w:bottom w:val="none" w:sz="0" w:space="0" w:color="auto"/>
                <w:right w:val="none" w:sz="0" w:space="0" w:color="auto"/>
              </w:pBdr>
              <w:shd w:val="clear" w:color="auto" w:fill="auto"/>
              <w:spacing w:line="20" w:lineRule="atLeast"/>
              <w:ind w:left="0" w:right="0"/>
              <w:textAlignment w:val="auto"/>
              <w:rPr>
                <w:rStyle w:val="top-sectionleft-box"/>
                <w:rFonts w:ascii="Open Sans" w:eastAsia="Open Sans" w:hAnsi="Open Sans" w:cs="Open Sans"/>
                <w:sz w:val="2"/>
                <w:szCs w:val="2"/>
                <w:bdr w:val="none" w:sz="0" w:space="0" w:color="auto"/>
                <w:shd w:val="clear" w:color="auto" w:fill="auto"/>
                <w:vertAlign w:val="baseline"/>
              </w:rPr>
            </w:pPr>
          </w:p>
        </w:tc>
        <w:tc>
          <w:tcPr>
            <w:tcW w:w="5720" w:type="dxa"/>
            <w:tcBorders>
              <w:top w:val="single" w:sz="40" w:space="0" w:color="C0E6E0"/>
              <w:bottom w:val="single" w:sz="40" w:space="0" w:color="C0E6E0"/>
            </w:tcBorders>
            <w:shd w:val="clear" w:color="auto" w:fill="FFFFFF"/>
            <w:noWrap w:val="0"/>
            <w:tcMar>
              <w:top w:w="440" w:type="dxa"/>
              <w:left w:w="0" w:type="dxa"/>
              <w:bottom w:w="440" w:type="dxa"/>
              <w:right w:w="0" w:type="dxa"/>
            </w:tcMar>
            <w:vAlign w:val="bottom"/>
            <w:hideMark/>
          </w:tcPr>
          <w:p>
            <w:pPr>
              <w:pStyle w:val="cntc-secaddressdiv"/>
              <w:pBdr>
                <w:top w:val="none" w:sz="0" w:space="0" w:color="auto"/>
                <w:left w:val="none" w:sz="0" w:space="11" w:color="auto"/>
                <w:bottom w:val="none" w:sz="0" w:space="0" w:color="auto"/>
                <w:right w:val="none" w:sz="0" w:space="17" w:color="auto"/>
              </w:pBdr>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Phone</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+91 98765 43210</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Email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amit.verma@example.com</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Address</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Kolkata</w:t>
            </w:r>
            <w:r>
              <w:rPr>
                <w:rStyle w:val="span"/>
                <w:rFonts w:ascii="Arimo" w:eastAsia="Arimo" w:hAnsi="Arimo" w:cs="Arimo"/>
                <w:sz w:val="20"/>
                <w:szCs w:val="20"/>
              </w:rPr>
              <w:t>,</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West Bengal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700091</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nth-last-child1"/>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color w:val="000000"/>
                <w:sz w:val="20"/>
                <w:szCs w:val="20"/>
              </w:rPr>
              <w:t>Date of Birth</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22-Feb-1986</w:t>
            </w:r>
            <w:r>
              <w:rPr>
                <w:rStyle w:val="top-sectionright-box"/>
                <w:rFonts w:ascii="Arimo" w:eastAsia="Arimo" w:hAnsi="Arimo" w:cs="Arimo"/>
                <w:color w:val="000000"/>
                <w:sz w:val="20"/>
                <w:szCs w:val="20"/>
                <w:bdr w:val="none" w:sz="0" w:space="0" w:color="auto"/>
                <w:shd w:val="clear" w:color="auto" w:fill="auto"/>
                <w:vertAlign w:val="baseline"/>
              </w:rPr>
              <w:t xml:space="preserve"> </w:t>
            </w:r>
          </w:p>
          <w:p>
            <w:pPr>
              <w:pStyle w:val="cntc-secaddressdivnth-last-child1gap-div"/>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vanish/>
                <w:color w:val="000000"/>
                <w:sz w:val="2"/>
                <w:szCs w:val="2"/>
                <w:bdr w:val="none" w:sz="0" w:space="0" w:color="auto"/>
                <w:shd w:val="clear" w:color="auto" w:fill="auto"/>
                <w:vertAlign w:val="baseline"/>
              </w:rPr>
            </w:pPr>
            <w:r>
              <w:rPr>
                <w:rStyle w:val="top-sectionright-box"/>
                <w:rFonts w:ascii="Arimo" w:eastAsia="Arimo" w:hAnsi="Arimo" w:cs="Arimo"/>
                <w:vanish/>
                <w:color w:val="000000"/>
                <w:sz w:val="2"/>
                <w:szCs w:val="2"/>
                <w:bdr w:val="none" w:sz="0" w:space="0" w:color="auto"/>
                <w:shd w:val="clear" w:color="auto" w:fill="auto"/>
                <w:vertAlign w:val="baseline"/>
              </w:rPr>
              <w:t> </w:t>
            </w:r>
          </w:p>
        </w:tc>
      </w:tr>
    </w:tbl>
    <w:p>
      <w:pPr>
        <w:pStyle w:val="div"/>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color w:val="2C2C2C"/>
          <w:sz w:val="20"/>
          <w:szCs w:val="20"/>
          <w:bdr w:val="none" w:sz="0" w:space="0" w:color="auto"/>
          <w:vertAlign w:val="baseline"/>
        </w:rPr>
      </w:pP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8240" behindDoc="1" locked="0" layoutInCell="1" allowOverlap="1">
            <wp:simplePos x="0" y="0"/>
            <wp:positionH relativeFrom="column">
              <wp:posOffset>0</wp:posOffset>
            </wp:positionH>
            <wp:positionV relativeFrom="paragraph">
              <wp:posOffset>203200</wp:posOffset>
            </wp:positionV>
            <wp:extent cx="7243398" cy="114849"/>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943"/>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Professional Summary</w:t>
            </w:r>
          </w:p>
        </w:tc>
      </w:tr>
    </w:tbl>
    <w:p>
      <w:pPr>
        <w:pStyle w:val="summary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Arimo" w:eastAsia="Arimo" w:hAnsi="Arimo" w:cs="Arimo"/>
          <w:color w:val="2C2C2C"/>
          <w:sz w:val="20"/>
          <w:szCs w:val="20"/>
          <w:bdr w:val="none" w:sz="0" w:space="0" w:color="auto"/>
          <w:vertAlign w:val="baseline"/>
        </w:rPr>
      </w:pPr>
      <w:r>
        <w:rPr>
          <w:rFonts w:ascii="Arimo" w:eastAsia="Arimo" w:hAnsi="Arimo" w:cs="Arimo"/>
          <w:color w:val="2C2C2C"/>
          <w:sz w:val="20"/>
          <w:szCs w:val="20"/>
          <w:bdr w:val="none" w:sz="0" w:space="0" w:color="auto"/>
          <w:vertAlign w:val="baseline"/>
        </w:rPr>
        <w:t>Enterprise Sales Manager with extensive experience in strategic account management and solution selling, skilled in engaging senior stakeholders and closing complex deals. Proven ability to build client relationships and drive revenue growth through effective deal negotiation. Ready to leverage expertise in B2B sales to contribute to a dynamic team and achieve ambitious targets.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203200</wp:posOffset>
            </wp:positionV>
            <wp:extent cx="7243398" cy="114849"/>
            <wp:wrapNone/>
            <wp:docPr id="10000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87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Skills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467"/>
        <w:gridCol w:w="5573"/>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Enterprise B2B Sales</w:t>
            </w:r>
          </w:p>
        </w:tc>
        <w:tc>
          <w:tcPr>
            <w:tcW w:w="55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Strategic Account Management</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Solution Selling</w:t>
            </w:r>
          </w:p>
        </w:tc>
        <w:tc>
          <w:tcPr>
            <w:tcW w:w="55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Deal Negotiation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Revenue Forecasting</w:t>
            </w:r>
          </w:p>
        </w:tc>
        <w:tc>
          <w:tcPr>
            <w:tcW w:w="55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CRM Management</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Client Relationship Building</w:t>
            </w:r>
          </w:p>
        </w:tc>
        <w:tc>
          <w:tcPr>
            <w:tcW w:w="5520" w:type="dxa"/>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203200</wp:posOffset>
            </wp:positionV>
            <wp:extent cx="7243398" cy="114849"/>
            <wp:wrapNone/>
            <wp:docPr id="10000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6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Experience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Enterprise Sales Manager</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NexaCloud Technologies Pvt. Ltd.</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Bengaluru</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July 2018</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Present</w:t>
      </w:r>
    </w:p>
    <w:p>
      <w:pPr>
        <w:pStyle w:val="expr-secli"/>
        <w:numPr>
          <w:ilvl w:val="0"/>
          <w:numId w:val="8"/>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Managed national-level enterprise accounts.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Closed multi-crore SaaS and IT service deals.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Engaged with CXO and senior stakeholders.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Led enterprise proposal and pricing strategy.</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Coordinated with pre-sales and delivery teams.</w:t>
      </w:r>
    </w:p>
    <w:p>
      <w:pPr>
        <w:pStyle w:val="linth-last-child1"/>
        <w:numPr>
          <w:ilvl w:val="0"/>
          <w:numId w:val="8"/>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Maintained accurate pipeline and forecasts.</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Senior Enterprise Sales Executive</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Orion Systems Ltd.</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January 2013</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June 2018</w:t>
      </w:r>
    </w:p>
    <w:p>
      <w:pPr>
        <w:pStyle w:val="expr-secli"/>
        <w:numPr>
          <w:ilvl w:val="0"/>
          <w:numId w:val="9"/>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Handled enterprise clients across BFSI and IT sectors.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Generated new enterprise leads and opportunities.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Conducted solution demos and presentations.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Negotiated contracts and commercial terms.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Achieved annual sales targets consistently.</w:t>
      </w:r>
    </w:p>
    <w:p>
      <w:pPr>
        <w:pStyle w:val="linth-last-child1"/>
        <w:numPr>
          <w:ilvl w:val="0"/>
          <w:numId w:val="9"/>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Updated CRM with sales activities.</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Enterprise Sales Executive</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DataWave Solutions</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Noida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June 2010</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December 2012</w:t>
      </w:r>
    </w:p>
    <w:p>
      <w:pPr>
        <w:pStyle w:val="expr-secli"/>
        <w:numPr>
          <w:ilvl w:val="0"/>
          <w:numId w:val="10"/>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Supported enterprise sales managers in deal closures.</w:t>
      </w:r>
    </w:p>
    <w:p>
      <w:pPr>
        <w:pStyle w:val="expr-secli"/>
        <w:numPr>
          <w:ilvl w:val="0"/>
          <w:numId w:val="10"/>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in RFP and proposal documentation.</w:t>
      </w:r>
    </w:p>
    <w:p>
      <w:pPr>
        <w:pStyle w:val="expr-secli"/>
        <w:numPr>
          <w:ilvl w:val="0"/>
          <w:numId w:val="10"/>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Coordinated enterprise client meetings.</w:t>
      </w:r>
    </w:p>
    <w:p>
      <w:pPr>
        <w:pStyle w:val="expr-secli"/>
        <w:numPr>
          <w:ilvl w:val="0"/>
          <w:numId w:val="10"/>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Managed renewals and upsell opportunities.</w:t>
      </w:r>
    </w:p>
    <w:p>
      <w:pPr>
        <w:pStyle w:val="expr-secli"/>
        <w:numPr>
          <w:ilvl w:val="0"/>
          <w:numId w:val="10"/>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Tracked competitor and market trends.</w:t>
      </w:r>
    </w:p>
    <w:p>
      <w:pPr>
        <w:pStyle w:val="linth-last-child1"/>
        <w:numPr>
          <w:ilvl w:val="0"/>
          <w:numId w:val="10"/>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Ensured customer satisfaction.</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203200</wp:posOffset>
            </wp:positionV>
            <wp:extent cx="7243398" cy="114849"/>
            <wp:wrapNone/>
            <wp:docPr id="1000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44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Education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MBA</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Marketing</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Symbiosis Institute of Business Management</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Jan 2010</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Technology</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Information Technology</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AKTU</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Jan 2008</w:t>
      </w:r>
      <w:r>
        <w:rPr>
          <w:rStyle w:val="span"/>
          <w:rFonts w:ascii="Open Sans" w:eastAsia="Open Sans" w:hAnsi="Open Sans" w:cs="Open Sans"/>
          <w:color w:val="2C2C2C"/>
          <w:sz w:val="20"/>
          <w:szCs w:val="20"/>
        </w:rPr>
        <w:t xml:space="preserve"> </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203200</wp:posOffset>
            </wp:positionV>
            <wp:extent cx="7243398" cy="114849"/>
            <wp:wrapNone/>
            <wp:docPr id="100010"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869"/>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Certifications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19"/>
        <w:gridCol w:w="5521"/>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Certified Enterprise Sales Professional</w:t>
            </w:r>
          </w:p>
        </w:tc>
        <w:tc>
          <w:tcPr>
            <w:tcW w:w="5520"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Strategic Account Management Certification</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203200</wp:posOffset>
            </wp:positionV>
            <wp:extent cx="7243398" cy="114849"/>
            <wp:wrapNone/>
            <wp:docPr id="1000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0"/>
                    </pic:cNvPicPr>
                  </pic:nvPicPr>
                  <pic:blipFill>
                    <a:blip xmlns:r="http://schemas.openxmlformats.org/officeDocument/2006/relationships" r:embed="rId5"/>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2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Job Title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Enterprise Sales Manager</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203200</wp:posOffset>
            </wp:positionV>
            <wp:extent cx="7243398" cy="114849"/>
            <wp:wrapNone/>
            <wp:docPr id="10001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381"/>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Accomplishments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ulli"/>
        <w:numPr>
          <w:ilvl w:val="0"/>
          <w:numId w:val="13"/>
        </w:numPr>
        <w:pBdr>
          <w:top w:val="none" w:sz="0" w:space="0" w:color="auto"/>
          <w:left w:val="none" w:sz="0" w:space="0" w:color="auto"/>
          <w:bottom w:val="none" w:sz="0" w:space="0" w:color="auto"/>
          <w:right w:val="none" w:sz="0" w:space="0" w:color="auto"/>
        </w:pBdr>
        <w:spacing w:before="240"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Achieved 125 percent of annual sales target.</w:t>
      </w:r>
    </w:p>
    <w:p>
      <w:pPr>
        <w:pStyle w:val="ulli"/>
        <w:numPr>
          <w:ilvl w:val="0"/>
          <w:numId w:val="13"/>
        </w:numPr>
        <w:spacing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Closed enterprise deals exceeding INR 8 crore.</w:t>
      </w:r>
    </w:p>
    <w:p>
      <w:pPr>
        <w:pStyle w:val="linth-last-child1"/>
        <w:numPr>
          <w:ilvl w:val="0"/>
          <w:numId w:val="13"/>
        </w:numPr>
        <w:pBdr>
          <w:left w:val="none" w:sz="0" w:space="7" w:color="auto"/>
        </w:pBdr>
        <w:spacing w:after="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Increased key account revenue by 35 percent.</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203200</wp:posOffset>
            </wp:positionV>
            <wp:extent cx="7243398" cy="114849"/>
            <wp:wrapNone/>
            <wp:docPr id="10001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2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Projects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Enterprise SaaS adoption for BFSI clients across India. Large account expansion project for IT services portfolio.</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203200</wp:posOffset>
            </wp:positionV>
            <wp:extent cx="7243398" cy="114849"/>
            <wp:wrapNone/>
            <wp:docPr id="10001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78"/>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References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Style w:val="sectionrefrencerefparatable"/>
        <w:tblCellSpacing w:w="0" w:type="dxa"/>
        <w:tblInd w:w="0" w:type="dxa"/>
        <w:tblCellMar>
          <w:top w:w="0" w:type="dxa"/>
          <w:left w:w="0" w:type="dxa"/>
          <w:bottom w:w="0" w:type="dxa"/>
          <w:right w:w="0" w:type="dxa"/>
        </w:tblCellMar>
        <w:tblLook w:val="05E0"/>
      </w:tblPr>
      <w:tblGrid>
        <w:gridCol w:w="5518"/>
        <w:gridCol w:w="297"/>
        <w:gridCol w:w="5506"/>
      </w:tblGrid>
      <w:tr>
        <w:tblPrEx>
          <w:tblCellSpacing w:w="0" w:type="dxa"/>
          <w:tblInd w:w="0" w:type="dxa"/>
          <w:tblCellMar>
            <w:top w:w="0" w:type="dxa"/>
            <w:left w:w="0" w:type="dxa"/>
            <w:bottom w:w="0" w:type="dxa"/>
            <w:right w:w="0" w:type="dxa"/>
          </w:tblCellMar>
          <w:tblLook w:val="05E0"/>
        </w:tblPrEx>
        <w:trPr>
          <w:tblCellSpacing w:w="0" w:type="dxa"/>
        </w:trPr>
        <w:tc>
          <w:tcPr>
            <w:tcW w:w="557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References available upon request</w:t>
            </w:r>
          </w:p>
        </w:tc>
        <w:tc>
          <w:tcPr>
            <w:tcW w:w="300" w:type="dxa"/>
            <w:tcMar>
              <w:top w:w="0" w:type="dxa"/>
              <w:left w:w="0" w:type="dxa"/>
              <w:bottom w:w="0" w:type="dxa"/>
              <w:right w:w="0" w:type="dxa"/>
            </w:tcMar>
            <w:vAlign w:val="bottom"/>
            <w:hideMark/>
          </w:tcPr>
          <w:p/>
        </w:tc>
        <w:tc>
          <w:tcPr>
            <w:tcW w:w="5570" w:type="dxa"/>
            <w:tcMar>
              <w:top w:w="0" w:type="dxa"/>
              <w:left w:w="0" w:type="dxa"/>
              <w:bottom w:w="0" w:type="dxa"/>
              <w:right w:w="0" w:type="dxa"/>
            </w:tcMar>
            <w:vAlign w:val="bottom"/>
            <w:hideMark/>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AA1527CB-43A8-4580-9C97-BCD29B5D0AF9}"/>
    <w:embedBold r:id="rId2" w:fontKey="{E5B53E65-A587-47B9-B439-227B88C9A8D9}"/>
    <w:embedItalic r:id="rId3" w:fontKey="{DB86EF7D-570C-4627-87AE-9B2338631C7E}"/>
  </w:font>
  <w:font w:name="Arimo">
    <w:charset w:val="00"/>
    <w:family w:val="auto"/>
    <w:pitch w:val="default"/>
    <w:sig w:usb0="00000000" w:usb1="00000000" w:usb2="00000000" w:usb3="00000000" w:csb0="00000001" w:csb1="00000000"/>
    <w:embedRegular r:id="rId4" w:fontKey="{5530B214-02F9-47B6-A5E4-7C716E285270}"/>
    <w:embedBold r:id="rId5" w:fontKey="{5976B7D7-66A9-484D-9AB9-8D8EA5DBE8B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1">
    <w:name w:val="document_skn-slo1"/>
    <w:basedOn w:val="Normal"/>
    <w:pPr>
      <w:spacing w:line="260" w:lineRule="atLeast"/>
    </w:pPr>
    <w:rPr>
      <w:color w:val="2C2C2C"/>
    </w:rPr>
  </w:style>
  <w:style w:type="character" w:customStyle="1" w:styleId="top-sectionleft-box">
    <w:name w:val="top-section_left-box"/>
    <w:basedOn w:val="DefaultParagraphFont"/>
    <w:rPr>
      <w:color w:val="FFFFFF"/>
      <w:shd w:val="clear" w:color="auto" w:fill="61C1B1"/>
    </w:rPr>
  </w:style>
  <w:style w:type="paragraph" w:customStyle="1" w:styleId="name-secsection">
    <w:name w:val="name-sec_section"/>
    <w:basedOn w:val="Normal"/>
    <w:pPr>
      <w:pBdr>
        <w:bottom w:val="none" w:sz="0" w:space="0" w:color="auto"/>
      </w:pBdr>
    </w:pPr>
  </w:style>
  <w:style w:type="paragraph" w:customStyle="1" w:styleId="firstparagraph">
    <w:name w:val="firstparagraph"/>
    <w:basedOn w:val="Normal"/>
  </w:style>
  <w:style w:type="paragraph" w:customStyle="1" w:styleId="txt-bold">
    <w:name w:val="txt-bold"/>
    <w:basedOn w:val="Normal"/>
    <w:rPr>
      <w:b/>
      <w:bCs/>
    </w:rPr>
  </w:style>
  <w:style w:type="character" w:customStyle="1" w:styleId="span">
    <w:name w:val="span"/>
    <w:basedOn w:val="DefaultParagraphFont"/>
    <w:rPr>
      <w:bdr w:val="none" w:sz="0" w:space="0" w:color="auto"/>
      <w:vertAlign w:val="baseline"/>
    </w:rPr>
  </w:style>
  <w:style w:type="paragraph" w:customStyle="1" w:styleId="top-sectionleft-boxParagraph">
    <w:name w:val="top-section_left-box Paragraph"/>
    <w:basedOn w:val="Normal"/>
    <w:pPr>
      <w:pBdr>
        <w:top w:val="single" w:sz="40" w:space="23" w:color="61C1B1"/>
        <w:bottom w:val="single" w:sz="40" w:space="22" w:color="61C1B1"/>
      </w:pBdr>
      <w:shd w:val="clear" w:color="auto" w:fill="61C1B1"/>
      <w:jc w:val="left"/>
    </w:pPr>
    <w:rPr>
      <w:color w:val="FFFFFF"/>
      <w:shd w:val="clear" w:color="auto" w:fill="61C1B1"/>
    </w:rPr>
  </w:style>
  <w:style w:type="character" w:customStyle="1" w:styleId="top-sectionright-box">
    <w:name w:val="top-section_right-box"/>
    <w:basedOn w:val="DefaultParagraphFont"/>
    <w:rPr>
      <w:shd w:val="clear" w:color="auto" w:fill="FFFFFF"/>
    </w:rPr>
  </w:style>
  <w:style w:type="paragraph" w:customStyle="1" w:styleId="cntc-secsection">
    <w:name w:val="cntc-sec_section"/>
    <w:basedOn w:val="Normal"/>
    <w:pPr>
      <w:pBdr>
        <w:left w:val="none" w:sz="0" w:space="11" w:color="auto"/>
        <w:bottom w:val="none" w:sz="0" w:space="0" w:color="auto"/>
        <w:right w:val="none" w:sz="0" w:space="17" w:color="auto"/>
      </w:pBdr>
      <w:spacing w:line="260" w:lineRule="atLeast"/>
    </w:pPr>
  </w:style>
  <w:style w:type="paragraph" w:customStyle="1" w:styleId="address">
    <w:name w:val="address"/>
    <w:basedOn w:val="Normal"/>
    <w:rPr>
      <w:rFonts w:ascii="Arimo" w:eastAsia="Arimo" w:hAnsi="Arimo" w:cs="Arimo"/>
    </w:rPr>
  </w:style>
  <w:style w:type="paragraph" w:customStyle="1" w:styleId="cntc-secaddressdiv">
    <w:name w:val="cntc-sec_address_div"/>
    <w:basedOn w:val="Normal"/>
    <w:rPr>
      <w:color w:val="000000"/>
    </w:rPr>
  </w:style>
  <w:style w:type="character" w:customStyle="1" w:styleId="txt-boldCharacter">
    <w:name w:val="txt-bold Character"/>
    <w:basedOn w:val="DefaultParagraphFont"/>
    <w:rPr>
      <w:b/>
      <w:bCs/>
    </w:rPr>
  </w:style>
  <w:style w:type="paragraph" w:customStyle="1" w:styleId="cntc-secaddressdivnth-last-child1">
    <w:name w:val="cntc-sec_address_div_nth-last-child(1)"/>
    <w:basedOn w:val="Normal"/>
  </w:style>
  <w:style w:type="paragraph" w:customStyle="1" w:styleId="cntc-secaddressdivnth-last-child1gap-div">
    <w:name w:val="cntc-sec_address_div_nth-last-child(1)_gap-div"/>
    <w:basedOn w:val="Normal"/>
    <w:rPr>
      <w:vanish/>
    </w:rPr>
  </w:style>
  <w:style w:type="table" w:customStyle="1" w:styleId="top-section">
    <w:name w:val="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dashed-line">
    <w:name w:val="dashed-line"/>
    <w:basedOn w:val="Normal"/>
    <w:pPr>
      <w:spacing w:line="14" w:lineRule="atLeast"/>
    </w:pPr>
    <w:rPr>
      <w:sz w:val="20"/>
      <w:szCs w:val="20"/>
    </w:rPr>
  </w:style>
  <w:style w:type="character" w:customStyle="1" w:styleId="sectiontitle">
    <w:name w:val="sectiontitle"/>
    <w:basedOn w:val="DefaultParagraphFont"/>
    <w:rPr>
      <w:sz w:val="24"/>
      <w:szCs w:val="24"/>
      <w:shd w:val="clear" w:color="auto" w:fill="FFFFFF"/>
    </w:rPr>
  </w:style>
  <w:style w:type="paragraph" w:customStyle="1" w:styleId="sectiontitleParagraph">
    <w:name w:val="sectiontitle Paragraph"/>
    <w:basedOn w:val="Normal"/>
    <w:pPr>
      <w:pBdr>
        <w:top w:val="none" w:sz="0" w:space="0" w:color="auto"/>
        <w:left w:val="none" w:sz="0" w:space="0" w:color="auto"/>
        <w:bottom w:val="none" w:sz="0" w:space="0" w:color="auto"/>
        <w:right w:val="none" w:sz="0" w:space="3" w:color="auto"/>
      </w:pBdr>
      <w:shd w:val="clear" w:color="auto" w:fill="FFFFFF"/>
      <w:spacing w:line="280" w:lineRule="atLeast"/>
    </w:pPr>
    <w:rPr>
      <w:sz w:val="24"/>
      <w:szCs w:val="24"/>
      <w:shd w:val="clear" w:color="auto" w:fill="FFFFFF"/>
    </w:rPr>
  </w:style>
  <w:style w:type="table" w:customStyle="1" w:styleId="heading">
    <w:name w:val="heading"/>
    <w:basedOn w:val="TableNormal"/>
    <w:tblPr/>
  </w:style>
  <w:style w:type="paragraph" w:customStyle="1" w:styleId="summaryheadinggap-div">
    <w:name w:val="summary_heading + gap-div"/>
    <w:basedOn w:val="Normal"/>
    <w:pPr>
      <w:spacing w:line="160" w:lineRule="atLeast"/>
    </w:pPr>
  </w:style>
  <w:style w:type="paragraph" w:customStyle="1" w:styleId="summarysinglecolumn">
    <w:name w:val="summary_singlecolumn"/>
    <w:basedOn w:val="Normal"/>
    <w:rPr>
      <w:rFonts w:ascii="Arimo" w:eastAsia="Arimo" w:hAnsi="Arimo" w:cs="Arimo"/>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gap-div">
    <w:name w:val="gap-div"/>
    <w:basedOn w:val="Normal"/>
    <w:pPr>
      <w:spacing w:line="240" w:lineRule="atLeast"/>
    </w:pPr>
    <w:rPr>
      <w:sz w:val="2"/>
      <w:szCs w:val="2"/>
    </w:rPr>
  </w:style>
  <w:style w:type="paragraph" w:customStyle="1" w:styleId="headinggap-div">
    <w:name w:val="heading + gap-div"/>
    <w:basedOn w:val="Normal"/>
    <w:pPr>
      <w:spacing w:line="280" w:lineRule="atLeast"/>
    </w:pPr>
  </w:style>
  <w:style w:type="paragraph" w:customStyle="1" w:styleId="two-col-list-wrapperparagraph">
    <w:name w:val="two-col-list-wrapper_paragraph"/>
    <w:basedOn w:val="Normal"/>
  </w:style>
  <w:style w:type="paragraph" w:customStyle="1" w:styleId="singlecolumn">
    <w:name w:val="singlecolumn"/>
    <w:basedOn w:val="Normal"/>
  </w:style>
  <w:style w:type="paragraph" w:customStyle="1" w:styleId="two-col-list-wrapperliasposeli">
    <w:name w:val="two-col-list-wrapper_li_asposeli"/>
    <w:basedOn w:val="Normal"/>
  </w:style>
  <w:style w:type="character" w:customStyle="1" w:styleId="pCharacter">
    <w:name w:val="p Character"/>
    <w:basedOn w:val="DefaultParagraphFont"/>
    <w:rPr>
      <w:bdr w:val="none" w:sz="0" w:space="0" w:color="auto"/>
      <w:vertAlign w:val="baseline"/>
    </w:rPr>
  </w:style>
  <w:style w:type="character" w:customStyle="1" w:styleId="singlecolumnspanpaddedlinenth-child1">
    <w:name w:val="singlecolumn_span_paddedline_nth-child(1)"/>
    <w:basedOn w:val="DefaultParagraphFont"/>
  </w:style>
  <w:style w:type="paragraph" w:customStyle="1" w:styleId="paddedline">
    <w:name w:val="paddedline"/>
    <w:basedOn w:val="Normal"/>
  </w:style>
  <w:style w:type="character" w:customStyle="1" w:styleId="txt-itl">
    <w:name w:val="txt-itl"/>
    <w:basedOn w:val="DefaultParagraphFont"/>
    <w:rPr>
      <w:i/>
      <w:iCs/>
    </w:rPr>
  </w:style>
  <w:style w:type="paragraph" w:customStyle="1" w:styleId="expr-secli">
    <w:name w:val="expr-sec_li"/>
    <w:basedOn w:val="Normal"/>
    <w:rPr>
      <w:rFonts w:ascii="Arimo" w:eastAsia="Arimo" w:hAnsi="Arimo" w:cs="Arimo"/>
    </w:rPr>
  </w:style>
  <w:style w:type="paragraph" w:customStyle="1" w:styleId="linth-last-child1">
    <w:name w:val="li_nth-last-child(1)"/>
    <w:basedOn w:val="Normal"/>
  </w:style>
  <w:style w:type="paragraph" w:customStyle="1" w:styleId="paragraph">
    <w:name w:val="paragraph"/>
    <w:basedOn w:val="Normal"/>
  </w:style>
  <w:style w:type="paragraph" w:customStyle="1" w:styleId="disp-block">
    <w:name w:val="disp-block"/>
    <w:basedOn w:val="Normal"/>
  </w:style>
  <w:style w:type="paragraph" w:customStyle="1" w:styleId="ulli">
    <w:name w:val="ul_li"/>
    <w:basedOn w:val="Normal"/>
    <w:pPr>
      <w:pBdr>
        <w:left w:val="none" w:sz="0" w:space="7" w:color="auto"/>
      </w:pBdr>
    </w:pPr>
  </w:style>
  <w:style w:type="character" w:customStyle="1" w:styleId="sectionrefrenceparagraph">
    <w:name w:val="section_refrence_paragraph"/>
    <w:basedOn w:val="DefaultParagraphFont"/>
  </w:style>
  <w:style w:type="table" w:customStyle="1" w:styleId="sectionrefrencerefparatable">
    <w:name w:val="section_refrence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Verma</dc:title>
  <cp:revision>0</cp:revision>
</cp:coreProperties>
</file>