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o1top-sectionleft-box"/>
        <w:tblW w:w="0" w:type="auto"/>
        <w:tblCellSpacing w:w="0" w:type="dxa"/>
        <w:shd w:val="clear" w:color="auto" w:fill="454545"/>
        <w:tblLayout w:type="fixed"/>
        <w:tblCellMar>
          <w:top w:w="0" w:type="dxa"/>
          <w:left w:w="0" w:type="dxa"/>
          <w:bottom w:w="0" w:type="dxa"/>
          <w:right w:w="0" w:type="dxa"/>
        </w:tblCellMar>
        <w:tblLook w:val="05E0"/>
      </w:tblPr>
      <w:tblGrid>
        <w:gridCol w:w="12240"/>
      </w:tblGrid>
      <w:tr>
        <w:tblPrEx>
          <w:tblW w:w="0" w:type="auto"/>
          <w:tblCellSpacing w:w="0" w:type="dxa"/>
          <w:shd w:val="clear" w:color="auto" w:fill="454545"/>
          <w:tblLayout w:type="fixed"/>
          <w:tblCellMar>
            <w:top w:w="0" w:type="dxa"/>
            <w:left w:w="0" w:type="dxa"/>
            <w:bottom w:w="0" w:type="dxa"/>
            <w:right w:w="0" w:type="dxa"/>
          </w:tblCellMar>
          <w:tblLook w:val="05E0"/>
        </w:tblPrEx>
        <w:trPr>
          <w:tblCellSpacing w:w="0" w:type="dxa"/>
        </w:trPr>
        <w:tc>
          <w:tcPr>
            <w:tcW w:w="12240" w:type="dxa"/>
            <w:shd w:val="clear" w:color="auto" w:fill="1E666F"/>
            <w:tcMar>
              <w:top w:w="0" w:type="dxa"/>
              <w:left w:w="0" w:type="dxa"/>
              <w:bottom w:w="420" w:type="dxa"/>
              <w:right w:w="0" w:type="dxa"/>
            </w:tcMar>
            <w:vAlign w:val="center"/>
            <w:hideMark/>
          </w:tcPr>
          <w:p>
            <w:pPr>
              <w:pStyle w:val="skn-mlo1name"/>
              <w:pBdr>
                <w:top w:val="none" w:sz="0" w:space="0" w:color="auto"/>
                <w:left w:val="none" w:sz="0" w:space="0" w:color="auto"/>
                <w:bottom w:val="none" w:sz="0" w:space="6" w:color="auto"/>
                <w:right w:val="none" w:sz="0" w:space="0" w:color="auto"/>
              </w:pBdr>
              <w:spacing w:before="0" w:after="0"/>
              <w:ind w:left="360" w:right="360"/>
              <w:jc w:val="center"/>
              <w:rPr>
                <w:rStyle w:val="skn-mlo1top-sectionleft-boxname-sec"/>
                <w:rFonts w:ascii="Open Sans" w:eastAsia="Open Sans" w:hAnsi="Open Sans" w:cs="Open Sans"/>
                <w:caps/>
                <w:color w:val="FFFFFF"/>
                <w:sz w:val="48"/>
                <w:szCs w:val="48"/>
                <w:bdr w:val="none" w:sz="0" w:space="0" w:color="auto"/>
                <w:shd w:val="clear" w:color="auto" w:fill="auto"/>
                <w:vertAlign w:val="baseline"/>
              </w:rPr>
            </w:pPr>
            <w:r>
              <w:rPr>
                <w:rStyle w:val="span"/>
                <w:rFonts w:ascii="Open Sans" w:eastAsia="Open Sans" w:hAnsi="Open Sans" w:cs="Open Sans"/>
                <w:caps/>
              </w:rPr>
              <w:t>Megha</w:t>
            </w:r>
            <w:r>
              <w:rPr>
                <w:rStyle w:val="skn-mlo1top-sectionleft-boxname-sec"/>
                <w:rFonts w:ascii="Open Sans" w:eastAsia="Open Sans" w:hAnsi="Open Sans" w:cs="Open Sans"/>
                <w:caps/>
                <w:bdr w:val="none" w:sz="0" w:space="0" w:color="auto"/>
                <w:shd w:val="clear" w:color="auto" w:fill="auto"/>
                <w:vertAlign w:val="baseline"/>
              </w:rPr>
              <w:t xml:space="preserve"> </w:t>
            </w:r>
            <w:r>
              <w:rPr>
                <w:rStyle w:val="span"/>
                <w:rFonts w:ascii="Open Sans" w:eastAsia="Open Sans" w:hAnsi="Open Sans" w:cs="Open Sans"/>
                <w:caps/>
              </w:rPr>
              <w:t>Vyas</w:t>
            </w:r>
            <w:r>
              <w:pict>
                <v:rect id="_x0000_s1025" style="width:226pt;height:11in;margin-top:0;margin-left:386pt;mso-position-horizontal-relative:page;mso-position-vertical-relative:page;position:absolute;z-index:-251658240" o:allowincell="f" fillcolor="#f9f9f9" stroked="f">
                  <v:path strokeok="f"/>
                </v:rect>
              </w:pict>
            </w:r>
          </w:p>
          <w:p>
            <w:pPr>
              <w:pStyle w:val="name-svg"/>
              <w:pBdr>
                <w:top w:val="none" w:sz="0" w:space="0" w:color="auto"/>
                <w:left w:val="none" w:sz="0" w:space="0" w:color="auto"/>
                <w:bottom w:val="none" w:sz="0" w:space="0" w:color="auto"/>
                <w:right w:val="none" w:sz="0" w:space="0" w:color="auto"/>
              </w:pBdr>
              <w:spacing w:before="0" w:after="0"/>
              <w:ind w:left="360" w:right="360"/>
              <w:jc w:val="center"/>
              <w:rPr>
                <w:rStyle w:val="skn-mlo1top-sectionleft-boxname-sec"/>
                <w:rFonts w:ascii="Open Sans" w:eastAsia="Open Sans" w:hAnsi="Open Sans" w:cs="Open Sans"/>
                <w:color w:val="050505"/>
                <w:sz w:val="20"/>
                <w:szCs w:val="20"/>
                <w:bdr w:val="none" w:sz="0" w:space="0" w:color="auto"/>
                <w:shd w:val="clear" w:color="auto" w:fill="auto"/>
                <w:vertAlign w:val="baseline"/>
              </w:rPr>
            </w:pPr>
            <w:r>
              <w:rPr>
                <w:rStyle w:val="skn-mlo1top-sectionleft-boxname-sec"/>
                <w:rFonts w:ascii="Open Sans" w:eastAsia="Open Sans" w:hAnsi="Open Sans" w:cs="Open Sans"/>
                <w:color w:val="050505"/>
                <w:sz w:val="20"/>
                <w:szCs w:val="20"/>
                <w:bdr w:val="none" w:sz="0" w:space="0" w:color="auto"/>
                <w:shd w:val="clear" w:color="auto" w:fill="auto"/>
                <w:vertAlign w:val="baseline"/>
              </w:rPr>
              <w:drawing>
                <wp:inline>
                  <wp:extent cx="850473" cy="13318"/>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850473" cy="13318"/>
                          </a:xfrm>
                          <a:prstGeom prst="rect">
                            <a:avLst/>
                          </a:prstGeom>
                        </pic:spPr>
                      </pic:pic>
                    </a:graphicData>
                  </a:graphic>
                </wp:inline>
              </w:drawing>
            </w:r>
          </w:p>
          <w:p>
            <w:pPr>
              <w:pStyle w:val="skn-mlo1txt-bold"/>
              <w:pBdr>
                <w:top w:val="none" w:sz="0" w:space="12" w:color="auto"/>
                <w:left w:val="none" w:sz="0" w:space="0" w:color="auto"/>
                <w:bottom w:val="none" w:sz="0" w:space="0" w:color="auto"/>
                <w:right w:val="none" w:sz="0" w:space="0" w:color="auto"/>
              </w:pBdr>
              <w:spacing w:before="0" w:after="0" w:line="300" w:lineRule="atLeast"/>
              <w:ind w:left="360" w:right="360"/>
              <w:jc w:val="center"/>
              <w:rPr>
                <w:rStyle w:val="skn-mlo1top-sectionleft-boxname-sec"/>
                <w:rFonts w:ascii="Open Sans" w:eastAsia="Open Sans" w:hAnsi="Open Sans" w:cs="Open Sans"/>
                <w:b/>
                <w:bCs/>
                <w:caps/>
                <w:color w:val="FFFFFF"/>
                <w:spacing w:val="19"/>
                <w:bdr w:val="none" w:sz="0" w:space="0" w:color="auto"/>
                <w:shd w:val="clear" w:color="auto" w:fill="auto"/>
                <w:vertAlign w:val="baseline"/>
              </w:rPr>
            </w:pPr>
            <w:r>
              <w:rPr>
                <w:rStyle w:val="span"/>
                <w:rFonts w:ascii="Open Sans" w:eastAsia="Open Sans" w:hAnsi="Open Sans" w:cs="Open Sans"/>
                <w:b/>
                <w:bCs/>
                <w:caps/>
                <w:color w:val="FFFFFF"/>
                <w:spacing w:val="19"/>
              </w:rPr>
              <w:t>Employee Engagement Executive</w:t>
            </w:r>
          </w:p>
          <w:p>
            <w:pPr>
              <w:pStyle w:val="skn-mlo1top-sectionleft-boxname-secParagraph"/>
              <w:pBdr>
                <w:top w:val="none" w:sz="0" w:space="0" w:color="auto"/>
                <w:left w:val="none" w:sz="0" w:space="0" w:color="auto"/>
                <w:bottom w:val="none" w:sz="0" w:space="0" w:color="auto"/>
                <w:right w:val="none" w:sz="0" w:space="0" w:color="auto"/>
                <w:between w:val="none" w:sz="0" w:space="0" w:color="auto"/>
                <w:bar w:val="none" w:sz="0" w:space="0" w:color="auto"/>
              </w:pBdr>
              <w:shd w:val="clear" w:color="auto" w:fill="auto"/>
              <w:spacing w:before="0" w:after="0" w:line="20" w:lineRule="atLeast"/>
              <w:ind w:left="0" w:right="0"/>
              <w:textAlignment w:val="auto"/>
              <w:rPr>
                <w:rStyle w:val="skn-mlo1top-sectionleft-boxname-sec"/>
                <w:rFonts w:ascii="Open Sans" w:eastAsia="Open Sans" w:hAnsi="Open Sans" w:cs="Open Sans"/>
                <w:color w:val="050505"/>
                <w:sz w:val="20"/>
                <w:szCs w:val="20"/>
                <w:bdr w:val="none" w:sz="0" w:space="0" w:color="auto"/>
                <w:shd w:val="clear" w:color="auto" w:fill="auto"/>
                <w:vertAlign w:val="baseline"/>
              </w:rPr>
            </w:pPr>
            <w:r>
              <w:rPr>
                <w:color w:val="FFFFFF"/>
                <w:sz w:val="2"/>
              </w:rPr>
              <w:t>.</w:t>
            </w:r>
            <w:r>
              <w:pict>
                <v:rect id="_x0000_s1026" style="width:612pt;height:23pt;margin-top:0;margin-left:0;mso-position-horizontal-relative:page;mso-position-vertical-relative:page;position:absolute;z-index:251659264" o:allowincell="f" fillcolor="#1e666f" stroked="f">
                  <v:path strokeok="f"/>
                </v:rect>
              </w:pict>
            </w:r>
          </w:p>
        </w:tc>
      </w:tr>
    </w:tbl>
    <w:p>
      <w:pPr>
        <w:rPr>
          <w:vanish/>
        </w:rPr>
      </w:pPr>
    </w:p>
    <w:tbl>
      <w:tblPr>
        <w:tblStyle w:val="skn-mlo1mid-section"/>
        <w:tblW w:w="0" w:type="auto"/>
        <w:tblCellSpacing w:w="0" w:type="dxa"/>
        <w:tblInd w:w="0" w:type="dxa"/>
        <w:tblLayout w:type="fixed"/>
        <w:tblCellMar>
          <w:top w:w="0" w:type="dxa"/>
          <w:left w:w="340" w:type="dxa"/>
          <w:bottom w:w="0" w:type="dxa"/>
          <w:right w:w="0" w:type="dxa"/>
        </w:tblCellMar>
        <w:tblLook w:val="05E0"/>
      </w:tblPr>
      <w:tblGrid>
        <w:gridCol w:w="7720"/>
        <w:gridCol w:w="4520"/>
      </w:tblGrid>
      <w:tr>
        <w:tblPrEx>
          <w:tblW w:w="0" w:type="auto"/>
          <w:tblCellSpacing w:w="0" w:type="dxa"/>
          <w:tblInd w:w="0" w:type="dxa"/>
          <w:tblLayout w:type="fixed"/>
          <w:tblCellMar>
            <w:top w:w="0" w:type="dxa"/>
            <w:left w:w="340" w:type="dxa"/>
            <w:bottom w:w="0" w:type="dxa"/>
            <w:right w:w="0" w:type="dxa"/>
          </w:tblCellMar>
          <w:tblLook w:val="05E0"/>
        </w:tblPrEx>
        <w:trPr>
          <w:tblCellSpacing w:w="0" w:type="dxa"/>
        </w:trPr>
        <w:tc>
          <w:tcPr>
            <w:tcW w:w="7720" w:type="dxa"/>
            <w:tcMar>
              <w:top w:w="0" w:type="dxa"/>
              <w:left w:w="0" w:type="dxa"/>
              <w:bottom w:w="0" w:type="dxa"/>
              <w:right w:w="480" w:type="dxa"/>
            </w:tcMar>
            <w:vAlign w:val="top"/>
            <w:hideMark/>
          </w:tcPr>
          <w:p>
            <w:pPr>
              <w:pStyle w:val="skn-mlo1sectiontitle"/>
              <w:pBdr>
                <w:top w:val="none" w:sz="0" w:space="0" w:color="auto"/>
                <w:left w:val="none" w:sz="0" w:space="0" w:color="auto"/>
                <w:bottom w:val="none" w:sz="0" w:space="0" w:color="auto"/>
                <w:right w:val="none" w:sz="0" w:space="0" w:color="auto"/>
              </w:pBdr>
              <w:spacing w:before="380" w:after="240"/>
              <w:ind w:left="340" w:right="0"/>
              <w:rPr>
                <w:rStyle w:val="skn-mlo1mid-sectionleft-box"/>
                <w:rFonts w:ascii="Open Sans" w:eastAsia="Open Sans" w:hAnsi="Open Sans" w:cs="Open Sans"/>
                <w:b/>
                <w:bCs/>
                <w:caps/>
                <w:color w:val="1E666F"/>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40" w:lineRule="atLeast"/>
              <w:ind w:left="340" w:right="0"/>
              <w:rPr>
                <w:rStyle w:val="skn-mlo1mid-sectionleft-box"/>
                <w:rFonts w:ascii="Open Sans" w:eastAsia="Open Sans" w:hAnsi="Open Sans" w:cs="Open Sans"/>
                <w:color w:val="050505"/>
                <w:sz w:val="22"/>
                <w:szCs w:val="22"/>
                <w:bdr w:val="none" w:sz="0" w:space="0" w:color="auto"/>
                <w:vertAlign w:val="baseline"/>
              </w:rPr>
            </w:pPr>
            <w:r>
              <w:rPr>
                <w:rStyle w:val="skn-mlo1mid-sectionleft-box"/>
                <w:rFonts w:ascii="Open Sans" w:eastAsia="Open Sans" w:hAnsi="Open Sans" w:cs="Open Sans"/>
                <w:color w:val="050505"/>
                <w:sz w:val="22"/>
                <w:szCs w:val="22"/>
                <w:bdr w:val="none" w:sz="0" w:space="0" w:color="auto"/>
                <w:vertAlign w:val="baseline"/>
              </w:rPr>
              <w:t>Seasoned professional with expertise in employee engagement planning, event management, and HR communication strategies. Proven track record of enhancing workplace culture through effective team building and satisfaction analysis. Ready to leverage skills as an Employee Engagement Executive to drive impactful engagement initiatives and support organizational growth.</w:t>
            </w:r>
          </w:p>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left-box"/>
                <w:rFonts w:ascii="Open Sans" w:eastAsia="Open Sans" w:hAnsi="Open Sans" w:cs="Open Sans"/>
                <w:b/>
                <w:bCs/>
                <w:caps/>
                <w:color w:val="1E666F"/>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Experience</w:t>
            </w:r>
          </w:p>
          <w:p>
            <w:pPr>
              <w:pStyle w:val="skn-mlo1txt-bold"/>
              <w:pBdr>
                <w:top w:val="none" w:sz="0" w:space="0" w:color="auto"/>
                <w:left w:val="none" w:sz="0" w:space="0" w:color="auto"/>
                <w:bottom w:val="none" w:sz="0" w:space="0" w:color="auto"/>
                <w:right w:val="none" w:sz="0" w:space="0" w:color="auto"/>
              </w:pBdr>
              <w:spacing w:before="0" w:after="0" w:line="280" w:lineRule="atLeast"/>
              <w:ind w:left="340" w:right="0"/>
              <w:rPr>
                <w:rStyle w:val="skn-mlo1mid-sectionleft-box"/>
                <w:rFonts w:ascii="Open Sans" w:eastAsia="Open Sans" w:hAnsi="Open Sans" w:cs="Open Sans"/>
                <w:b/>
                <w:bCs/>
                <w:color w:val="050505"/>
                <w:sz w:val="22"/>
                <w:szCs w:val="22"/>
                <w:bdr w:val="none" w:sz="0" w:space="0" w:color="auto"/>
                <w:vertAlign w:val="baseline"/>
              </w:rPr>
            </w:pPr>
            <w:r>
              <w:rPr>
                <w:rStyle w:val="skn-mlo1mid-sectionleft-box"/>
                <w:rFonts w:ascii="Open Sans" w:eastAsia="Open Sans" w:hAnsi="Open Sans" w:cs="Open Sans"/>
                <w:b/>
                <w:bCs/>
                <w:color w:val="050505"/>
                <w:sz w:val="22"/>
                <w:szCs w:val="22"/>
                <w:bdr w:val="none" w:sz="0" w:space="0" w:color="auto"/>
                <w:vertAlign w:val="baseline"/>
              </w:rPr>
              <w:t>Employee Engagement Executive</w:t>
            </w:r>
          </w:p>
          <w:p>
            <w:pPr>
              <w:pStyle w:val="skn-mlo1disp-block"/>
              <w:spacing w:before="0" w:after="0" w:line="280" w:lineRule="atLeast"/>
              <w:ind w:left="340" w:right="0"/>
              <w:rPr>
                <w:rStyle w:val="skn-mlo1mid-sectionleft-box"/>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1E666F"/>
                <w:sz w:val="22"/>
                <w:szCs w:val="22"/>
              </w:rPr>
              <w:t>March 2021</w:t>
            </w:r>
            <w:r>
              <w:rPr>
                <w:rStyle w:val="span"/>
                <w:rFonts w:ascii="Open Sans" w:eastAsia="Open Sans" w:hAnsi="Open Sans" w:cs="Open Sans"/>
                <w:color w:val="1E666F"/>
                <w:sz w:val="22"/>
                <w:szCs w:val="22"/>
              </w:rPr>
              <w:t xml:space="preserve"> - </w:t>
            </w:r>
            <w:r>
              <w:rPr>
                <w:rStyle w:val="span"/>
                <w:rFonts w:ascii="Open Sans" w:eastAsia="Open Sans" w:hAnsi="Open Sans" w:cs="Open Sans"/>
                <w:color w:val="1E666F"/>
                <w:sz w:val="22"/>
                <w:szCs w:val="22"/>
              </w:rPr>
              <w:t>Present</w:t>
            </w:r>
            <w:r>
              <w:rPr>
                <w:rStyle w:val="skn-mlo1sprtr"/>
              </w:rPr>
              <w:t>│</w:t>
            </w:r>
            <w:r>
              <w:rPr>
                <w:rStyle w:val="span"/>
                <w:rFonts w:ascii="Open Sans" w:eastAsia="Open Sans" w:hAnsi="Open Sans" w:cs="Open Sans"/>
                <w:color w:val="050505"/>
                <w:sz w:val="22"/>
                <w:szCs w:val="22"/>
              </w:rPr>
              <w:t>ChemPro Industries Pvt. Ltd.</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Vadodara</w:t>
            </w:r>
            <w:r>
              <w:rPr>
                <w:rStyle w:val="skn-mlo1mid-sectionleft-box"/>
                <w:rFonts w:ascii="Open Sans" w:eastAsia="Open Sans" w:hAnsi="Open Sans" w:cs="Open Sans"/>
                <w:color w:val="050505"/>
                <w:sz w:val="22"/>
                <w:szCs w:val="22"/>
                <w:bdr w:val="none" w:sz="0" w:space="0" w:color="auto"/>
                <w:vertAlign w:val="baseline"/>
              </w:rPr>
              <w:t xml:space="preserve"> </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Design and execute monthly and annual employee engagement calendars for plant and corporate teams.</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Lead R&amp;R programs, including awards, appreciation events, and performance recognition initiatives.</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Conduct onboarding engagement activities, welcome sessions, buddy programs, and culture orientation.</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 internal communications such as policy updates, newsletters, and HR announcements.</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Organize festival celebrations, theme days, sports events, and employee wellness programs.</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Execute employee pulse surveys, analyze feedback, and prepare action plans to improve satisfaction.</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Manage welfare activities, birthday celebrations, employee appreciation days, and service awards.</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 CSR activities and handle coordination with NGOs and external partners.</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Maintain engagement MIS reports, attendance sheets, budgets, and activity dashboards.</w:t>
            </w:r>
          </w:p>
          <w:p>
            <w:pPr>
              <w:pStyle w:val="skn-mlo1txt-bold"/>
              <w:pBdr>
                <w:top w:val="none" w:sz="0" w:space="10" w:color="auto"/>
                <w:left w:val="none" w:sz="0" w:space="0" w:color="auto"/>
                <w:bottom w:val="none" w:sz="0" w:space="0" w:color="auto"/>
                <w:right w:val="none" w:sz="0" w:space="0" w:color="auto"/>
              </w:pBdr>
              <w:spacing w:before="0" w:after="0" w:line="280" w:lineRule="atLeast"/>
              <w:ind w:left="340" w:right="0"/>
              <w:rPr>
                <w:rStyle w:val="skn-mlo1mid-sectionleft-box"/>
                <w:rFonts w:ascii="Open Sans" w:eastAsia="Open Sans" w:hAnsi="Open Sans" w:cs="Open Sans"/>
                <w:b/>
                <w:bCs/>
                <w:color w:val="050505"/>
                <w:sz w:val="22"/>
                <w:szCs w:val="22"/>
                <w:bdr w:val="none" w:sz="0" w:space="0" w:color="auto"/>
                <w:vertAlign w:val="baseline"/>
              </w:rPr>
            </w:pPr>
            <w:r>
              <w:rPr>
                <w:rStyle w:val="skn-mlo1mid-sectionleft-box"/>
                <w:rFonts w:ascii="Open Sans" w:eastAsia="Open Sans" w:hAnsi="Open Sans" w:cs="Open Sans"/>
                <w:b/>
                <w:bCs/>
                <w:color w:val="050505"/>
                <w:sz w:val="22"/>
                <w:szCs w:val="22"/>
                <w:bdr w:val="none" w:sz="0" w:space="0" w:color="auto"/>
                <w:vertAlign w:val="baseline"/>
              </w:rPr>
              <w:t>HR &amp; Engagement Coordinator</w:t>
            </w:r>
          </w:p>
          <w:p>
            <w:pPr>
              <w:pStyle w:val="skn-mlo1disp-block"/>
              <w:spacing w:before="0" w:after="0" w:line="280" w:lineRule="atLeast"/>
              <w:ind w:left="340" w:right="0"/>
              <w:rPr>
                <w:rStyle w:val="skn-mlo1mid-sectionleft-box"/>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1E666F"/>
                <w:sz w:val="22"/>
                <w:szCs w:val="22"/>
              </w:rPr>
              <w:t>January 2018</w:t>
            </w:r>
            <w:r>
              <w:rPr>
                <w:rStyle w:val="span"/>
                <w:rFonts w:ascii="Open Sans" w:eastAsia="Open Sans" w:hAnsi="Open Sans" w:cs="Open Sans"/>
                <w:color w:val="1E666F"/>
                <w:sz w:val="22"/>
                <w:szCs w:val="22"/>
              </w:rPr>
              <w:t xml:space="preserve"> - </w:t>
            </w:r>
            <w:r>
              <w:rPr>
                <w:rStyle w:val="span"/>
                <w:rFonts w:ascii="Open Sans" w:eastAsia="Open Sans" w:hAnsi="Open Sans" w:cs="Open Sans"/>
                <w:color w:val="1E666F"/>
                <w:sz w:val="22"/>
                <w:szCs w:val="22"/>
              </w:rPr>
              <w:t>February 2021</w:t>
            </w:r>
            <w:r>
              <w:rPr>
                <w:rStyle w:val="skn-mlo1sprtr"/>
              </w:rPr>
              <w:t>│</w:t>
            </w:r>
            <w:r>
              <w:rPr>
                <w:rStyle w:val="span"/>
                <w:rFonts w:ascii="Open Sans" w:eastAsia="Open Sans" w:hAnsi="Open Sans" w:cs="Open Sans"/>
                <w:color w:val="050505"/>
                <w:sz w:val="22"/>
                <w:szCs w:val="22"/>
              </w:rPr>
              <w:t>Global ChemTech Solutions</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Vadodara</w:t>
            </w:r>
            <w:r>
              <w:rPr>
                <w:rStyle w:val="skn-mlo1mid-sectionleft-box"/>
                <w:rFonts w:ascii="Open Sans" w:eastAsia="Open Sans" w:hAnsi="Open Sans" w:cs="Open Sans"/>
                <w:color w:val="050505"/>
                <w:sz w:val="22"/>
                <w:szCs w:val="22"/>
                <w:bdr w:val="none" w:sz="0" w:space="0" w:color="auto"/>
                <w:vertAlign w:val="baseline"/>
              </w:rPr>
              <w:t xml:space="preserve"> </w:t>
            </w:r>
          </w:p>
          <w:p>
            <w:pPr>
              <w:pStyle w:val="skn-mlo1ulli"/>
              <w:numPr>
                <w:ilvl w:val="0"/>
                <w:numId w:val="2"/>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in planning and executing engagement activities across multiple departments.</w:t>
            </w:r>
          </w:p>
          <w:p>
            <w:pPr>
              <w:pStyle w:val="skn-mlo1ulli"/>
              <w:numPr>
                <w:ilvl w:val="0"/>
                <w:numId w:val="2"/>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induction programs, employee communication, and HR documentation.</w:t>
            </w:r>
          </w:p>
          <w:p>
            <w:pPr>
              <w:pStyle w:val="skn-mlo1ulli"/>
              <w:numPr>
                <w:ilvl w:val="0"/>
                <w:numId w:val="2"/>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Coordinated vendors for event setups, employee welfare activities, and training sessions.</w:t>
            </w:r>
          </w:p>
          <w:p>
            <w:pPr>
              <w:pStyle w:val="skn-mlo1ulli"/>
              <w:numPr>
                <w:ilvl w:val="0"/>
                <w:numId w:val="2"/>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Prepared engagement communication drafts, presentations, and cultural content.</w:t>
            </w:r>
          </w:p>
          <w:p>
            <w:pPr>
              <w:pStyle w:val="skn-mlo1ulli"/>
              <w:numPr>
                <w:ilvl w:val="0"/>
                <w:numId w:val="2"/>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Collected employee feedback post-events and shared reports with HR leadership.</w:t>
            </w:r>
          </w:p>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left-box"/>
                <w:rFonts w:ascii="Open Sans" w:eastAsia="Open Sans" w:hAnsi="Open Sans" w:cs="Open Sans"/>
                <w:b/>
                <w:bCs/>
                <w:caps/>
                <w:color w:val="1E666F"/>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Education</w:t>
            </w:r>
          </w:p>
          <w:p>
            <w:pPr>
              <w:pStyle w:val="div"/>
              <w:pBdr>
                <w:top w:val="none" w:sz="0" w:space="0" w:color="auto"/>
                <w:left w:val="none" w:sz="0" w:space="0" w:color="auto"/>
                <w:bottom w:val="none" w:sz="0" w:space="0" w:color="auto"/>
                <w:right w:val="none" w:sz="0" w:space="0" w:color="auto"/>
              </w:pBdr>
              <w:spacing w:before="0" w:after="0" w:line="20" w:lineRule="exact"/>
              <w:ind w:left="340" w:right="0"/>
              <w:rPr>
                <w:rStyle w:val="skn-mlo1mid-sectionleft-box"/>
                <w:rFonts w:ascii="Open Sans" w:eastAsia="Open Sans" w:hAnsi="Open Sans" w:cs="Open Sans"/>
                <w:color w:val="050505"/>
                <w:sz w:val="20"/>
                <w:szCs w:val="20"/>
                <w:bdr w:val="none" w:sz="0" w:space="0" w:color="auto"/>
                <w:vertAlign w:val="baseline"/>
              </w:rPr>
            </w:pPr>
            <w:r>
              <w:rPr>
                <w:rStyle w:val="skn-mlo1mid-sectionleft-box"/>
                <w:rFonts w:ascii="Open Sans" w:eastAsia="Open Sans" w:hAnsi="Open Sans" w:cs="Open Sans"/>
                <w:color w:val="050505"/>
                <w:sz w:val="20"/>
                <w:szCs w:val="20"/>
                <w:bdr w:val="none" w:sz="0" w:space="0" w:color="auto"/>
                <w:vertAlign w:val="baseline"/>
              </w:rPr>
              <w:t> </w:t>
            </w:r>
          </w:p>
          <w:p>
            <w:pPr>
              <w:pStyle w:val="skn-mlo1disp-block"/>
              <w:spacing w:before="0" w:after="0" w:line="260" w:lineRule="atLeast"/>
              <w:ind w:left="340" w:right="0"/>
              <w:rPr>
                <w:rStyle w:val="skn-mlo1mid-section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2"/>
                <w:szCs w:val="22"/>
              </w:rPr>
              <w:t>MBA</w:t>
            </w:r>
            <w:r>
              <w:rPr>
                <w:rStyle w:val="skn-mlo1txt-boldCharacter"/>
                <w:rFonts w:ascii="Open Sans" w:eastAsia="Open Sans" w:hAnsi="Open Sans" w:cs="Open Sans"/>
                <w:b/>
                <w:bCs/>
                <w:color w:val="050505"/>
                <w:sz w:val="22"/>
                <w:szCs w:val="22"/>
              </w:rPr>
              <w:t xml:space="preserve"> </w:t>
            </w:r>
            <w:r>
              <w:rPr>
                <w:rStyle w:val="span"/>
                <w:rFonts w:ascii="Open Sans" w:eastAsia="Open Sans" w:hAnsi="Open Sans" w:cs="Open Sans"/>
                <w:b/>
                <w:bCs/>
                <w:color w:val="050505"/>
                <w:sz w:val="22"/>
                <w:szCs w:val="22"/>
              </w:rPr>
              <w:t>in</w:t>
            </w:r>
            <w:r>
              <w:rPr>
                <w:rStyle w:val="skn-mlo1txt-boldCharacter"/>
                <w:rFonts w:ascii="Open Sans" w:eastAsia="Open Sans" w:hAnsi="Open Sans" w:cs="Open Sans"/>
                <w:b/>
                <w:bCs/>
                <w:color w:val="050505"/>
                <w:sz w:val="22"/>
                <w:szCs w:val="22"/>
              </w:rPr>
              <w:t xml:space="preserve"> </w:t>
            </w:r>
            <w:r>
              <w:rPr>
                <w:rStyle w:val="span"/>
                <w:rFonts w:ascii="Open Sans" w:eastAsia="Open Sans" w:hAnsi="Open Sans" w:cs="Open Sans"/>
                <w:b/>
                <w:bCs/>
                <w:color w:val="050505"/>
                <w:sz w:val="22"/>
                <w:szCs w:val="22"/>
              </w:rPr>
              <w:t>Human Resource Management</w:t>
            </w:r>
            <w:r>
              <w:rPr>
                <w:rStyle w:val="skn-mlo1txt-boldCharacter"/>
                <w:rFonts w:ascii="Open Sans" w:eastAsia="Open Sans" w:hAnsi="Open Sans" w:cs="Open Sans"/>
                <w:b/>
                <w:bCs/>
                <w:color w:val="050505"/>
                <w:sz w:val="22"/>
                <w:szCs w:val="22"/>
              </w:rPr>
              <w:t xml:space="preserve"> </w:t>
            </w:r>
          </w:p>
          <w:p>
            <w:pPr>
              <w:pStyle w:val="skn-mlo1disp-block"/>
              <w:spacing w:before="0" w:after="0" w:line="280" w:lineRule="atLeast"/>
              <w:ind w:left="340" w:right="0"/>
              <w:rPr>
                <w:rStyle w:val="skn-mlo1mid-sectionleft-box"/>
                <w:rFonts w:ascii="Open Sans" w:eastAsia="Open Sans" w:hAnsi="Open Sans" w:cs="Open Sans"/>
                <w:color w:val="1E666F"/>
                <w:sz w:val="22"/>
                <w:szCs w:val="22"/>
                <w:bdr w:val="none" w:sz="0" w:space="0" w:color="auto"/>
                <w:vertAlign w:val="baseline"/>
              </w:rPr>
            </w:pPr>
            <w:r>
              <w:rPr>
                <w:rStyle w:val="span"/>
                <w:rFonts w:ascii="Open Sans" w:eastAsia="Open Sans" w:hAnsi="Open Sans" w:cs="Open Sans"/>
                <w:color w:val="1E666F"/>
                <w:sz w:val="22"/>
                <w:szCs w:val="22"/>
              </w:rPr>
              <w:t>January 2017</w:t>
            </w:r>
            <w:r>
              <w:rPr>
                <w:rStyle w:val="span"/>
                <w:rFonts w:ascii="Open Sans" w:eastAsia="Open Sans" w:hAnsi="Open Sans" w:cs="Open Sans"/>
                <w:color w:val="1E666F"/>
                <w:sz w:val="22"/>
                <w:szCs w:val="22"/>
              </w:rPr>
              <w:t xml:space="preserve"> </w:t>
            </w:r>
          </w:p>
          <w:p>
            <w:pPr>
              <w:pStyle w:val="skn-mlo1disp-block"/>
              <w:spacing w:before="0" w:after="0" w:line="260" w:lineRule="atLeast"/>
              <w:ind w:left="340" w:right="0"/>
              <w:rPr>
                <w:rStyle w:val="skn-mlo1mid-section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Parul University</w:t>
            </w:r>
          </w:p>
          <w:p>
            <w:pPr>
              <w:pStyle w:val="div"/>
              <w:pBdr>
                <w:top w:val="none" w:sz="0" w:space="0" w:color="auto"/>
                <w:left w:val="none" w:sz="0" w:space="0" w:color="auto"/>
                <w:bottom w:val="none" w:sz="0" w:space="0" w:color="auto"/>
                <w:right w:val="none" w:sz="0" w:space="0" w:color="auto"/>
              </w:pBdr>
              <w:spacing w:before="0" w:after="0" w:line="200" w:lineRule="exact"/>
              <w:ind w:left="340" w:right="0"/>
              <w:rPr>
                <w:rStyle w:val="skn-mlo1mid-sectionleft-box"/>
                <w:rFonts w:ascii="Open Sans" w:eastAsia="Open Sans" w:hAnsi="Open Sans" w:cs="Open Sans"/>
                <w:color w:val="050505"/>
                <w:sz w:val="20"/>
                <w:szCs w:val="20"/>
                <w:bdr w:val="none" w:sz="0" w:space="0" w:color="auto"/>
                <w:vertAlign w:val="baseline"/>
              </w:rPr>
            </w:pPr>
            <w:r>
              <w:rPr>
                <w:rStyle w:val="skn-mlo1mid-sectionleft-box"/>
                <w:rFonts w:ascii="Open Sans" w:eastAsia="Open Sans" w:hAnsi="Open Sans" w:cs="Open Sans"/>
                <w:color w:val="050505"/>
                <w:sz w:val="20"/>
                <w:szCs w:val="20"/>
                <w:bdr w:val="none" w:sz="0" w:space="0" w:color="auto"/>
                <w:vertAlign w:val="baseline"/>
              </w:rPr>
              <w:t> </w:t>
            </w:r>
          </w:p>
          <w:p>
            <w:pPr>
              <w:pStyle w:val="skn-mlo1disp-block"/>
              <w:spacing w:before="0" w:after="0" w:line="260" w:lineRule="atLeast"/>
              <w:ind w:left="340" w:right="0"/>
              <w:rPr>
                <w:rStyle w:val="skn-mlo1mid-section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2"/>
                <w:szCs w:val="22"/>
              </w:rPr>
              <w:t>Bachelor of Commerce (B.Com)</w:t>
            </w:r>
            <w:r>
              <w:rPr>
                <w:rStyle w:val="skn-mlo1txt-boldCharacter"/>
                <w:rFonts w:ascii="Open Sans" w:eastAsia="Open Sans" w:hAnsi="Open Sans" w:cs="Open Sans"/>
                <w:b/>
                <w:bCs/>
                <w:color w:val="050505"/>
                <w:sz w:val="22"/>
                <w:szCs w:val="22"/>
              </w:rPr>
              <w:t xml:space="preserve"> </w:t>
            </w:r>
          </w:p>
          <w:p>
            <w:pPr>
              <w:pStyle w:val="skn-mlo1disp-block"/>
              <w:spacing w:before="0" w:after="0" w:line="280" w:lineRule="atLeast"/>
              <w:ind w:left="340" w:right="0"/>
              <w:rPr>
                <w:rStyle w:val="skn-mlo1mid-sectionleft-box"/>
                <w:rFonts w:ascii="Open Sans" w:eastAsia="Open Sans" w:hAnsi="Open Sans" w:cs="Open Sans"/>
                <w:color w:val="1E666F"/>
                <w:sz w:val="22"/>
                <w:szCs w:val="22"/>
                <w:bdr w:val="none" w:sz="0" w:space="0" w:color="auto"/>
                <w:vertAlign w:val="baseline"/>
              </w:rPr>
            </w:pPr>
            <w:r>
              <w:rPr>
                <w:rStyle w:val="span"/>
                <w:rFonts w:ascii="Open Sans" w:eastAsia="Open Sans" w:hAnsi="Open Sans" w:cs="Open Sans"/>
                <w:color w:val="1E666F"/>
                <w:sz w:val="22"/>
                <w:szCs w:val="22"/>
              </w:rPr>
              <w:t>January 2015</w:t>
            </w:r>
            <w:r>
              <w:rPr>
                <w:rStyle w:val="span"/>
                <w:rFonts w:ascii="Open Sans" w:eastAsia="Open Sans" w:hAnsi="Open Sans" w:cs="Open Sans"/>
                <w:color w:val="1E666F"/>
                <w:sz w:val="22"/>
                <w:szCs w:val="22"/>
              </w:rPr>
              <w:t xml:space="preserve"> </w:t>
            </w:r>
          </w:p>
          <w:p>
            <w:pPr>
              <w:pStyle w:val="skn-mlo1disp-block"/>
              <w:spacing w:before="0" w:after="0" w:line="260" w:lineRule="atLeast"/>
              <w:ind w:left="340" w:right="0"/>
              <w:rPr>
                <w:rStyle w:val="skn-mlo1mid-section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Maharaja Sayajirao University (MSU)</w:t>
            </w:r>
          </w:p>
          <w:p>
            <w:pPr>
              <w:pStyle w:val="div"/>
              <w:pBdr>
                <w:top w:val="none" w:sz="0" w:space="0" w:color="auto"/>
                <w:left w:val="none" w:sz="0" w:space="0" w:color="auto"/>
                <w:bottom w:val="none" w:sz="0" w:space="0" w:color="auto"/>
                <w:right w:val="none" w:sz="0" w:space="0" w:color="auto"/>
              </w:pBdr>
              <w:spacing w:before="0" w:after="0" w:line="200" w:lineRule="exact"/>
              <w:ind w:left="340" w:right="0"/>
              <w:rPr>
                <w:rStyle w:val="skn-mlo1mid-sectionleft-box"/>
                <w:rFonts w:ascii="Open Sans" w:eastAsia="Open Sans" w:hAnsi="Open Sans" w:cs="Open Sans"/>
                <w:color w:val="050505"/>
                <w:sz w:val="20"/>
                <w:szCs w:val="20"/>
                <w:bdr w:val="none" w:sz="0" w:space="0" w:color="auto"/>
                <w:vertAlign w:val="baseline"/>
              </w:rPr>
            </w:pPr>
            <w:r>
              <w:rPr>
                <w:rStyle w:val="skn-mlo1mid-sectionleft-box"/>
                <w:rFonts w:ascii="Open Sans" w:eastAsia="Open Sans" w:hAnsi="Open Sans" w:cs="Open Sans"/>
                <w:color w:val="050505"/>
                <w:sz w:val="20"/>
                <w:szCs w:val="20"/>
                <w:bdr w:val="none" w:sz="0" w:space="0" w:color="auto"/>
                <w:vertAlign w:val="baseline"/>
              </w:rPr>
              <w:t> </w:t>
            </w:r>
          </w:p>
          <w:p>
            <w:pPr>
              <w:pStyle w:val="skn-mlo1disp-block"/>
              <w:spacing w:before="0" w:after="0" w:line="260" w:lineRule="atLeast"/>
              <w:ind w:left="340" w:right="0"/>
              <w:rPr>
                <w:rStyle w:val="skn-mlo1mid-section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2"/>
                <w:szCs w:val="22"/>
              </w:rPr>
              <w:t>12th</w:t>
            </w:r>
            <w:r>
              <w:rPr>
                <w:rStyle w:val="skn-mlo1txt-boldCharacter"/>
                <w:rFonts w:ascii="Open Sans" w:eastAsia="Open Sans" w:hAnsi="Open Sans" w:cs="Open Sans"/>
                <w:b/>
                <w:bCs/>
                <w:color w:val="050505"/>
                <w:sz w:val="22"/>
                <w:szCs w:val="22"/>
              </w:rPr>
              <w:t xml:space="preserve"> </w:t>
            </w:r>
            <w:r>
              <w:rPr>
                <w:rStyle w:val="span"/>
                <w:rFonts w:ascii="Open Sans" w:eastAsia="Open Sans" w:hAnsi="Open Sans" w:cs="Open Sans"/>
                <w:b/>
                <w:bCs/>
                <w:color w:val="050505"/>
                <w:sz w:val="22"/>
                <w:szCs w:val="22"/>
              </w:rPr>
              <w:t>in</w:t>
            </w:r>
            <w:r>
              <w:rPr>
                <w:rStyle w:val="skn-mlo1txt-boldCharacter"/>
                <w:rFonts w:ascii="Open Sans" w:eastAsia="Open Sans" w:hAnsi="Open Sans" w:cs="Open Sans"/>
                <w:b/>
                <w:bCs/>
                <w:color w:val="050505"/>
                <w:sz w:val="22"/>
                <w:szCs w:val="22"/>
              </w:rPr>
              <w:t xml:space="preserve"> </w:t>
            </w:r>
            <w:r>
              <w:rPr>
                <w:rStyle w:val="span"/>
                <w:rFonts w:ascii="Open Sans" w:eastAsia="Open Sans" w:hAnsi="Open Sans" w:cs="Open Sans"/>
                <w:b/>
                <w:bCs/>
                <w:color w:val="050505"/>
                <w:sz w:val="22"/>
                <w:szCs w:val="22"/>
              </w:rPr>
              <w:t>Commerce</w:t>
            </w:r>
            <w:r>
              <w:rPr>
                <w:rStyle w:val="skn-mlo1txt-boldCharacter"/>
                <w:rFonts w:ascii="Open Sans" w:eastAsia="Open Sans" w:hAnsi="Open Sans" w:cs="Open Sans"/>
                <w:b/>
                <w:bCs/>
                <w:color w:val="050505"/>
                <w:sz w:val="22"/>
                <w:szCs w:val="22"/>
              </w:rPr>
              <w:t xml:space="preserve"> </w:t>
            </w:r>
          </w:p>
          <w:p>
            <w:pPr>
              <w:pStyle w:val="skn-mlo1disp-block"/>
              <w:spacing w:before="0" w:after="0" w:line="280" w:lineRule="atLeast"/>
              <w:ind w:left="340" w:right="0"/>
              <w:rPr>
                <w:rStyle w:val="skn-mlo1mid-sectionleft-box"/>
                <w:rFonts w:ascii="Open Sans" w:eastAsia="Open Sans" w:hAnsi="Open Sans" w:cs="Open Sans"/>
                <w:color w:val="1E666F"/>
                <w:sz w:val="22"/>
                <w:szCs w:val="22"/>
                <w:bdr w:val="none" w:sz="0" w:space="0" w:color="auto"/>
                <w:vertAlign w:val="baseline"/>
              </w:rPr>
            </w:pPr>
            <w:r>
              <w:rPr>
                <w:rStyle w:val="span"/>
                <w:rFonts w:ascii="Open Sans" w:eastAsia="Open Sans" w:hAnsi="Open Sans" w:cs="Open Sans"/>
                <w:color w:val="1E666F"/>
                <w:sz w:val="22"/>
                <w:szCs w:val="22"/>
              </w:rPr>
              <w:t>January 2012</w:t>
            </w:r>
            <w:r>
              <w:rPr>
                <w:rStyle w:val="span"/>
                <w:rFonts w:ascii="Open Sans" w:eastAsia="Open Sans" w:hAnsi="Open Sans" w:cs="Open Sans"/>
                <w:color w:val="1E666F"/>
                <w:sz w:val="22"/>
                <w:szCs w:val="22"/>
              </w:rPr>
              <w:t xml:space="preserve"> </w:t>
            </w:r>
          </w:p>
          <w:p>
            <w:pPr>
              <w:pStyle w:val="skn-mlo1disp-block"/>
              <w:spacing w:before="0" w:after="0" w:line="260" w:lineRule="atLeast"/>
              <w:ind w:left="340" w:right="0"/>
              <w:rPr>
                <w:rStyle w:val="skn-mlo1mid-section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GSHSEB Board</w:t>
            </w:r>
          </w:p>
          <w:p>
            <w:pPr>
              <w:pStyle w:val="div"/>
              <w:pBdr>
                <w:top w:val="none" w:sz="0" w:space="0" w:color="auto"/>
                <w:left w:val="none" w:sz="0" w:space="0" w:color="auto"/>
                <w:bottom w:val="none" w:sz="0" w:space="0" w:color="auto"/>
                <w:right w:val="none" w:sz="0" w:space="0" w:color="auto"/>
              </w:pBdr>
              <w:spacing w:before="0" w:after="0" w:line="200" w:lineRule="exact"/>
              <w:ind w:left="340" w:right="0"/>
              <w:rPr>
                <w:rStyle w:val="skn-mlo1mid-sectionleft-box"/>
                <w:rFonts w:ascii="Open Sans" w:eastAsia="Open Sans" w:hAnsi="Open Sans" w:cs="Open Sans"/>
                <w:color w:val="050505"/>
                <w:sz w:val="20"/>
                <w:szCs w:val="20"/>
                <w:bdr w:val="none" w:sz="0" w:space="0" w:color="auto"/>
                <w:vertAlign w:val="baseline"/>
              </w:rPr>
            </w:pPr>
            <w:r>
              <w:rPr>
                <w:rStyle w:val="skn-mlo1mid-sectionleft-box"/>
                <w:rFonts w:ascii="Open Sans" w:eastAsia="Open Sans" w:hAnsi="Open Sans" w:cs="Open Sans"/>
                <w:color w:val="050505"/>
                <w:sz w:val="20"/>
                <w:szCs w:val="20"/>
                <w:bdr w:val="none" w:sz="0" w:space="0" w:color="auto"/>
                <w:vertAlign w:val="baseline"/>
              </w:rPr>
              <w:t> </w:t>
            </w:r>
          </w:p>
          <w:p>
            <w:pPr>
              <w:pStyle w:val="skn-mlo1disp-block"/>
              <w:spacing w:before="0" w:after="0" w:line="260" w:lineRule="atLeast"/>
              <w:ind w:left="340" w:right="0"/>
              <w:rPr>
                <w:rStyle w:val="skn-mlo1mid-section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2"/>
                <w:szCs w:val="22"/>
              </w:rPr>
              <w:t>10th</w:t>
            </w:r>
            <w:r>
              <w:rPr>
                <w:rStyle w:val="skn-mlo1txt-boldCharacter"/>
                <w:rFonts w:ascii="Open Sans" w:eastAsia="Open Sans" w:hAnsi="Open Sans" w:cs="Open Sans"/>
                <w:b/>
                <w:bCs/>
                <w:color w:val="050505"/>
                <w:sz w:val="22"/>
                <w:szCs w:val="22"/>
              </w:rPr>
              <w:t xml:space="preserve"> </w:t>
            </w:r>
          </w:p>
          <w:p>
            <w:pPr>
              <w:pStyle w:val="skn-mlo1disp-block"/>
              <w:spacing w:before="0" w:after="0" w:line="280" w:lineRule="atLeast"/>
              <w:ind w:left="340" w:right="0"/>
              <w:rPr>
                <w:rStyle w:val="skn-mlo1mid-sectionleft-box"/>
                <w:rFonts w:ascii="Open Sans" w:eastAsia="Open Sans" w:hAnsi="Open Sans" w:cs="Open Sans"/>
                <w:color w:val="1E666F"/>
                <w:sz w:val="22"/>
                <w:szCs w:val="22"/>
                <w:bdr w:val="none" w:sz="0" w:space="0" w:color="auto"/>
                <w:vertAlign w:val="baseline"/>
              </w:rPr>
            </w:pPr>
            <w:r>
              <w:rPr>
                <w:rStyle w:val="span"/>
                <w:rFonts w:ascii="Open Sans" w:eastAsia="Open Sans" w:hAnsi="Open Sans" w:cs="Open Sans"/>
                <w:color w:val="1E666F"/>
                <w:sz w:val="22"/>
                <w:szCs w:val="22"/>
              </w:rPr>
              <w:t>January 2010</w:t>
            </w:r>
            <w:r>
              <w:rPr>
                <w:rStyle w:val="span"/>
                <w:rFonts w:ascii="Open Sans" w:eastAsia="Open Sans" w:hAnsi="Open Sans" w:cs="Open Sans"/>
                <w:color w:val="1E666F"/>
                <w:sz w:val="22"/>
                <w:szCs w:val="22"/>
              </w:rPr>
              <w:t xml:space="preserve"> </w:t>
            </w:r>
          </w:p>
          <w:p>
            <w:pPr>
              <w:pStyle w:val="skn-mlo1disp-block"/>
              <w:spacing w:before="0" w:after="0" w:line="260" w:lineRule="atLeast"/>
              <w:ind w:left="340" w:right="0"/>
              <w:rPr>
                <w:rStyle w:val="skn-mlo1mid-section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GSHSEB Board</w:t>
            </w:r>
          </w:p>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left-box"/>
                <w:rFonts w:ascii="Open Sans" w:eastAsia="Open Sans" w:hAnsi="Open Sans" w:cs="Open Sans"/>
                <w:b/>
                <w:bCs/>
                <w:caps/>
                <w:color w:val="1E666F"/>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Certifications</w:t>
            </w:r>
          </w:p>
          <w:p>
            <w:pPr>
              <w:pStyle w:val="p"/>
              <w:numPr>
                <w:ilvl w:val="0"/>
                <w:numId w:val="3"/>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Certification in Employee Engagement &amp; Organizational Culture</w:t>
            </w:r>
          </w:p>
          <w:p>
            <w:pPr>
              <w:pStyle w:val="p"/>
              <w:numPr>
                <w:ilvl w:val="0"/>
                <w:numId w:val="3"/>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HR Operations &amp; Business Partnering Certification</w:t>
            </w:r>
          </w:p>
          <w:p>
            <w:pPr>
              <w:pStyle w:val="p"/>
              <w:numPr>
                <w:ilvl w:val="0"/>
                <w:numId w:val="3"/>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Diploma in HR Management (Online Program)</w:t>
            </w:r>
          </w:p>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left-box"/>
                <w:rFonts w:ascii="Open Sans" w:eastAsia="Open Sans" w:hAnsi="Open Sans" w:cs="Open Sans"/>
                <w:b/>
                <w:bCs/>
                <w:caps/>
                <w:color w:val="1E666F"/>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Candidate</w:t>
            </w:r>
          </w:p>
          <w:p>
            <w:pPr>
              <w:pStyle w:val="div"/>
              <w:pBdr>
                <w:top w:val="none" w:sz="0" w:space="0" w:color="auto"/>
                <w:left w:val="none" w:sz="0" w:space="0" w:color="auto"/>
                <w:bottom w:val="none" w:sz="0" w:space="0" w:color="auto"/>
                <w:right w:val="none" w:sz="0" w:space="0" w:color="auto"/>
              </w:pBdr>
              <w:spacing w:before="0" w:after="0" w:line="260" w:lineRule="atLeast"/>
              <w:ind w:left="340" w:right="0"/>
              <w:rPr>
                <w:rStyle w:val="skn-mlo1mid-sectionleft-box"/>
                <w:rFonts w:ascii="Open Sans" w:eastAsia="Open Sans" w:hAnsi="Open Sans" w:cs="Open Sans"/>
                <w:color w:val="050505"/>
                <w:sz w:val="20"/>
                <w:szCs w:val="20"/>
                <w:bdr w:val="none" w:sz="0" w:space="0" w:color="auto"/>
                <w:vertAlign w:val="baseline"/>
              </w:rPr>
            </w:pPr>
            <w:r>
              <w:rPr>
                <w:rStyle w:val="skn-mlo1mid-sectionleft-box"/>
                <w:rFonts w:ascii="Open Sans" w:eastAsia="Open Sans" w:hAnsi="Open Sans" w:cs="Open Sans"/>
                <w:color w:val="050505"/>
                <w:sz w:val="20"/>
                <w:szCs w:val="20"/>
                <w:bdr w:val="none" w:sz="0" w:space="0" w:color="auto"/>
                <w:vertAlign w:val="baseline"/>
              </w:rPr>
              <w:t>Megha Vyas, +91 98765 43210, megha.vyas.hr@example.com, B/12 Shreenath Residency, Gotri Road, Vadodara, Gujarat, 390021</w:t>
            </w:r>
          </w:p>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left-box"/>
                <w:rFonts w:ascii="Open Sans" w:eastAsia="Open Sans" w:hAnsi="Open Sans" w:cs="Open Sans"/>
                <w:b/>
                <w:bCs/>
                <w:caps/>
                <w:color w:val="1E666F"/>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References</w:t>
            </w:r>
          </w:p>
          <w:p>
            <w:pPr>
              <w:pStyle w:val="skn-mlo1sectionreference-secparagraphref-upon-request"/>
              <w:pBdr>
                <w:top w:val="none" w:sz="0" w:space="0" w:color="auto"/>
                <w:left w:val="none" w:sz="0" w:space="0" w:color="auto"/>
                <w:bottom w:val="none" w:sz="0" w:space="0" w:color="auto"/>
                <w:right w:val="none" w:sz="0" w:space="0" w:color="auto"/>
              </w:pBdr>
              <w:spacing w:before="0" w:after="0" w:line="260" w:lineRule="atLeast"/>
              <w:ind w:left="340" w:right="0"/>
              <w:textAlignment w:val="top"/>
              <w:rPr>
                <w:rStyle w:val="skn-mlo1mid-section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References available upon request</w:t>
            </w:r>
          </w:p>
          <w:p>
            <w:pPr>
              <w:pStyle w:val="skn-mlo1mid-sectionleft-boxParagraph0"/>
              <w:pBdr>
                <w:top w:val="none" w:sz="0" w:space="0" w:color="auto"/>
                <w:left w:val="none" w:sz="0" w:space="0" w:color="auto"/>
                <w:bottom w:val="none" w:sz="0" w:space="0" w:color="auto"/>
                <w:right w:val="none" w:sz="0" w:space="0" w:color="auto"/>
              </w:pBdr>
              <w:spacing w:line="20" w:lineRule="exact"/>
              <w:ind w:left="340" w:right="0"/>
              <w:textAlignment w:val="auto"/>
              <w:rPr>
                <w:rStyle w:val="skn-mlo1mid-sectionleft-box"/>
                <w:rFonts w:ascii="Open Sans" w:eastAsia="Open Sans" w:hAnsi="Open Sans" w:cs="Open Sans"/>
                <w:color w:val="050505"/>
                <w:sz w:val="20"/>
                <w:szCs w:val="20"/>
                <w:bdr w:val="none" w:sz="0" w:space="0" w:color="auto"/>
                <w:vertAlign w:val="baseline"/>
              </w:rPr>
            </w:pPr>
          </w:p>
        </w:tc>
        <w:tc>
          <w:tcPr>
            <w:tcW w:w="4520" w:type="dxa"/>
            <w:tcMar>
              <w:top w:w="0" w:type="dxa"/>
              <w:left w:w="0" w:type="dxa"/>
              <w:bottom w:w="0" w:type="dxa"/>
              <w:right w:w="340" w:type="dxa"/>
            </w:tcMar>
            <w:vAlign w:val="top"/>
            <w:hideMark/>
          </w:tcPr>
          <w:p>
            <w:pPr>
              <w:pStyle w:val="skn-mlo1sectiontitle"/>
              <w:pBdr>
                <w:top w:val="none" w:sz="0" w:space="0" w:color="auto"/>
                <w:left w:val="none" w:sz="0" w:space="0" w:color="auto"/>
                <w:bottom w:val="none" w:sz="0" w:space="0" w:color="auto"/>
                <w:right w:val="none" w:sz="0" w:space="0" w:color="auto"/>
              </w:pBdr>
              <w:spacing w:before="380" w:after="240"/>
              <w:ind w:left="340" w:right="0"/>
              <w:rPr>
                <w:rStyle w:val="skn-mlo1mid-sectionright-box"/>
                <w:rFonts w:ascii="Open Sans" w:eastAsia="Open Sans" w:hAnsi="Open Sans" w:cs="Open Sans"/>
                <w:b/>
                <w:bCs/>
                <w:caps/>
                <w:color w:val="1E666F"/>
                <w:spacing w:val="12"/>
                <w:bdr w:val="none" w:sz="0" w:space="0" w:color="auto"/>
                <w:vertAlign w:val="baseline"/>
              </w:rPr>
            </w:pPr>
            <w:r>
              <w:rPr>
                <w:rStyle w:val="skn-mlo1mid-sectionright-box"/>
                <w:rFonts w:ascii="Open Sans" w:eastAsia="Open Sans" w:hAnsi="Open Sans" w:cs="Open Sans"/>
                <w:b/>
                <w:bCs/>
                <w:caps/>
                <w:bdr w:val="none" w:sz="0" w:space="0" w:color="auto"/>
                <w:vertAlign w:val="baseline"/>
              </w:rPr>
              <w:t>Contact</w:t>
            </w:r>
          </w:p>
          <w:tbl>
            <w:tblPr>
              <w:tblStyle w:val="skn-mlo1icon-row"/>
              <w:tblW w:w="0" w:type="auto"/>
              <w:tblCellSpacing w:w="0" w:type="dxa"/>
              <w:tblInd w:w="340" w:type="dxa"/>
              <w:tblLayout w:type="fixed"/>
              <w:tblCellMar>
                <w:top w:w="0" w:type="dxa"/>
                <w:left w:w="0" w:type="dxa"/>
                <w:bottom w:w="0" w:type="dxa"/>
                <w:right w:w="0" w:type="dxa"/>
              </w:tblCellMar>
              <w:tblLook w:val="05E0"/>
            </w:tblPr>
            <w:tblGrid>
              <w:gridCol w:w="560"/>
              <w:gridCol w:w="3640"/>
            </w:tblGrid>
            <w:tr>
              <w:tblPrEx>
                <w:tblW w:w="0" w:type="auto"/>
                <w:tblCellSpacing w:w="0" w:type="dxa"/>
                <w:tblInd w:w="340" w:type="dxa"/>
                <w:tblLayout w:type="fixed"/>
                <w:tblCellMar>
                  <w:top w:w="0" w:type="dxa"/>
                  <w:left w:w="0" w:type="dxa"/>
                  <w:bottom w:w="0" w:type="dxa"/>
                  <w:right w:w="0" w:type="dxa"/>
                </w:tblCellMar>
                <w:tblLook w:val="05E0"/>
              </w:tblPrEx>
              <w:trPr>
                <w:trHeight w:val="360"/>
                <w:tblCellSpacing w:w="0" w:type="dxa"/>
              </w:trPr>
              <w:tc>
                <w:tcPr>
                  <w:tcW w:w="560" w:type="dxa"/>
                  <w:tcMar>
                    <w:top w:w="0" w:type="dxa"/>
                    <w:left w:w="0" w:type="dxa"/>
                    <w:bottom w:w="200" w:type="dxa"/>
                    <w:right w:w="0" w:type="dxa"/>
                  </w:tcMar>
                  <w:vAlign w:val="top"/>
                  <w:hideMark/>
                </w:tcPr>
                <w:p>
                  <w:pPr>
                    <w:spacing w:before="20"/>
                    <w:rPr>
                      <w:rStyle w:val="skn-mlo1mid-sectionright-box"/>
                      <w:rFonts w:ascii="Open Sans" w:eastAsia="Open Sans" w:hAnsi="Open Sans" w:cs="Open Sans"/>
                      <w:color w:val="050505"/>
                      <w:sz w:val="20"/>
                      <w:szCs w:val="20"/>
                      <w:bdr w:val="none" w:sz="0" w:space="0" w:color="auto"/>
                      <w:vertAlign w:val="baseline"/>
                    </w:rPr>
                  </w:pPr>
                  <w:r>
                    <w:rPr>
                      <w:rStyle w:val="skn-mlo1mid-sectionright-box"/>
                      <w:rFonts w:ascii="Open Sans" w:eastAsia="Open Sans" w:hAnsi="Open Sans" w:cs="Open Sans"/>
                      <w:color w:val="050505"/>
                      <w:sz w:val="20"/>
                      <w:szCs w:val="20"/>
                      <w:bdr w:val="none" w:sz="0" w:space="0" w:color="auto"/>
                      <w:vertAlign w:val="baseline"/>
                    </w:rPr>
                    <w:drawing>
                      <wp:inline>
                        <wp:extent cx="229101" cy="229235"/>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229101" cy="229235"/>
                                </a:xfrm>
                                <a:prstGeom prst="rect">
                                  <a:avLst/>
                                </a:prstGeom>
                              </pic:spPr>
                            </pic:pic>
                          </a:graphicData>
                        </a:graphic>
                      </wp:inline>
                    </w:drawing>
                  </w:r>
                </w:p>
              </w:tc>
              <w:tc>
                <w:tcPr>
                  <w:tcW w:w="3640" w:type="dxa"/>
                  <w:tcMar>
                    <w:top w:w="0" w:type="dxa"/>
                    <w:left w:w="0" w:type="dxa"/>
                    <w:bottom w:w="200" w:type="dxa"/>
                    <w:right w:w="500" w:type="dxa"/>
                  </w:tcMar>
                  <w:vAlign w:val="top"/>
                  <w:hideMark/>
                </w:tcPr>
                <w:p>
                  <w:pPr>
                    <w:rPr>
                      <w:rStyle w:val="skn-mlo1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+91 98765 43210</w:t>
                  </w:r>
                  <w:r>
                    <w:rPr>
                      <w:rStyle w:val="skn-mlo1ico-txt"/>
                      <w:rFonts w:ascii="Open Sans" w:eastAsia="Open Sans" w:hAnsi="Open Sans" w:cs="Open Sans"/>
                      <w:color w:val="050505"/>
                      <w:sz w:val="20"/>
                      <w:szCs w:val="20"/>
                      <w:bdr w:val="none" w:sz="0" w:space="0" w:color="auto"/>
                      <w:vertAlign w:val="baseline"/>
                    </w:rPr>
                    <w:t xml:space="preserve"> </w:t>
                  </w:r>
                </w:p>
              </w:tc>
            </w:tr>
          </w:tbl>
          <w:p>
            <w:pPr>
              <w:rPr>
                <w:vanish/>
              </w:rPr>
            </w:pPr>
          </w:p>
          <w:tbl>
            <w:tblPr>
              <w:tblStyle w:val="skn-mlo1icon-row"/>
              <w:tblW w:w="0" w:type="auto"/>
              <w:tblCellSpacing w:w="0" w:type="dxa"/>
              <w:tblInd w:w="340" w:type="dxa"/>
              <w:tblLayout w:type="fixed"/>
              <w:tblCellMar>
                <w:top w:w="0" w:type="dxa"/>
                <w:left w:w="0" w:type="dxa"/>
                <w:bottom w:w="0" w:type="dxa"/>
                <w:right w:w="0" w:type="dxa"/>
              </w:tblCellMar>
              <w:tblLook w:val="05E0"/>
            </w:tblPr>
            <w:tblGrid>
              <w:gridCol w:w="560"/>
              <w:gridCol w:w="3640"/>
            </w:tblGrid>
            <w:tr>
              <w:tblPrEx>
                <w:tblW w:w="0" w:type="auto"/>
                <w:tblCellSpacing w:w="0" w:type="dxa"/>
                <w:tblInd w:w="340" w:type="dxa"/>
                <w:tblLayout w:type="fixed"/>
                <w:tblCellMar>
                  <w:top w:w="0" w:type="dxa"/>
                  <w:left w:w="0" w:type="dxa"/>
                  <w:bottom w:w="0" w:type="dxa"/>
                  <w:right w:w="0" w:type="dxa"/>
                </w:tblCellMar>
                <w:tblLook w:val="05E0"/>
              </w:tblPrEx>
              <w:trPr>
                <w:trHeight w:val="360"/>
                <w:tblCellSpacing w:w="0" w:type="dxa"/>
              </w:trPr>
              <w:tc>
                <w:tcPr>
                  <w:tcW w:w="560" w:type="dxa"/>
                  <w:tcMar>
                    <w:top w:w="0" w:type="dxa"/>
                    <w:left w:w="0" w:type="dxa"/>
                    <w:bottom w:w="200" w:type="dxa"/>
                    <w:right w:w="0" w:type="dxa"/>
                  </w:tcMar>
                  <w:vAlign w:val="top"/>
                  <w:hideMark/>
                </w:tcPr>
                <w:p>
                  <w:pPr>
                    <w:spacing w:before="20"/>
                    <w:rPr>
                      <w:rStyle w:val="skn-mlo1mid-sectionright-box"/>
                      <w:rFonts w:ascii="Open Sans" w:eastAsia="Open Sans" w:hAnsi="Open Sans" w:cs="Open Sans"/>
                      <w:color w:val="050505"/>
                      <w:sz w:val="20"/>
                      <w:szCs w:val="20"/>
                      <w:bdr w:val="none" w:sz="0" w:space="0" w:color="auto"/>
                      <w:vertAlign w:val="baseline"/>
                    </w:rPr>
                  </w:pPr>
                  <w:r>
                    <w:rPr>
                      <w:rStyle w:val="skn-mlo1mid-sectionright-box"/>
                      <w:rFonts w:ascii="Open Sans" w:eastAsia="Open Sans" w:hAnsi="Open Sans" w:cs="Open Sans"/>
                      <w:color w:val="050505"/>
                      <w:sz w:val="20"/>
                      <w:szCs w:val="20"/>
                      <w:bdr w:val="none" w:sz="0" w:space="0" w:color="auto"/>
                      <w:vertAlign w:val="baseline"/>
                    </w:rPr>
                    <w:drawing>
                      <wp:inline>
                        <wp:extent cx="229101" cy="229235"/>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229101" cy="229235"/>
                                </a:xfrm>
                                <a:prstGeom prst="rect">
                                  <a:avLst/>
                                </a:prstGeom>
                              </pic:spPr>
                            </pic:pic>
                          </a:graphicData>
                        </a:graphic>
                      </wp:inline>
                    </w:drawing>
                  </w:r>
                </w:p>
              </w:tc>
              <w:tc>
                <w:tcPr>
                  <w:tcW w:w="3640" w:type="dxa"/>
                  <w:tcMar>
                    <w:top w:w="0" w:type="dxa"/>
                    <w:left w:w="0" w:type="dxa"/>
                    <w:bottom w:w="200" w:type="dxa"/>
                    <w:right w:w="500" w:type="dxa"/>
                  </w:tcMar>
                  <w:vAlign w:val="top"/>
                  <w:hideMark/>
                </w:tcPr>
                <w:p>
                  <w:pPr>
                    <w:rPr>
                      <w:rStyle w:val="skn-mlo1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megha.vyas.hr@example.com</w:t>
                  </w:r>
                </w:p>
              </w:tc>
            </w:tr>
          </w:tbl>
          <w:p>
            <w:pPr>
              <w:rPr>
                <w:vanish/>
              </w:rPr>
            </w:pPr>
          </w:p>
          <w:tbl>
            <w:tblPr>
              <w:tblStyle w:val="skn-mlo1icon-rownth-last-child1"/>
              <w:tblW w:w="0" w:type="auto"/>
              <w:tblCellSpacing w:w="0" w:type="dxa"/>
              <w:tblInd w:w="340" w:type="dxa"/>
              <w:tblLayout w:type="fixed"/>
              <w:tblCellMar>
                <w:top w:w="0" w:type="dxa"/>
                <w:left w:w="0" w:type="dxa"/>
                <w:bottom w:w="0" w:type="dxa"/>
                <w:right w:w="0" w:type="dxa"/>
              </w:tblCellMar>
              <w:tblLook w:val="05E0"/>
            </w:tblPr>
            <w:tblGrid>
              <w:gridCol w:w="560"/>
              <w:gridCol w:w="3640"/>
            </w:tblGrid>
            <w:tr>
              <w:tblPrEx>
                <w:tblW w:w="0" w:type="auto"/>
                <w:tblCellSpacing w:w="0" w:type="dxa"/>
                <w:tblInd w:w="340" w:type="dxa"/>
                <w:tblLayout w:type="fixed"/>
                <w:tblCellMar>
                  <w:top w:w="0" w:type="dxa"/>
                  <w:left w:w="0" w:type="dxa"/>
                  <w:bottom w:w="0" w:type="dxa"/>
                  <w:right w:w="0" w:type="dxa"/>
                </w:tblCellMar>
                <w:tblLook w:val="05E0"/>
              </w:tblPrEx>
              <w:trPr>
                <w:trHeight w:val="360"/>
                <w:tblCellSpacing w:w="0" w:type="dxa"/>
              </w:trPr>
              <w:tc>
                <w:tcPr>
                  <w:tcW w:w="560" w:type="dxa"/>
                  <w:tcMar>
                    <w:top w:w="0" w:type="dxa"/>
                    <w:left w:w="0" w:type="dxa"/>
                    <w:bottom w:w="200" w:type="dxa"/>
                    <w:right w:w="0" w:type="dxa"/>
                  </w:tcMar>
                  <w:vAlign w:val="top"/>
                  <w:hideMark/>
                </w:tcPr>
                <w:p>
                  <w:pPr>
                    <w:spacing w:before="20"/>
                    <w:rPr>
                      <w:rStyle w:val="skn-mlo1mid-sectionright-box"/>
                      <w:rFonts w:ascii="Open Sans" w:eastAsia="Open Sans" w:hAnsi="Open Sans" w:cs="Open Sans"/>
                      <w:color w:val="050505"/>
                      <w:sz w:val="20"/>
                      <w:szCs w:val="20"/>
                      <w:bdr w:val="none" w:sz="0" w:space="0" w:color="auto"/>
                      <w:vertAlign w:val="baseline"/>
                    </w:rPr>
                  </w:pPr>
                  <w:r>
                    <w:rPr>
                      <w:rStyle w:val="skn-mlo1mid-sectionright-box"/>
                      <w:rFonts w:ascii="Open Sans" w:eastAsia="Open Sans" w:hAnsi="Open Sans" w:cs="Open Sans"/>
                      <w:color w:val="050505"/>
                      <w:sz w:val="20"/>
                      <w:szCs w:val="20"/>
                      <w:bdr w:val="none" w:sz="0" w:space="0" w:color="auto"/>
                      <w:vertAlign w:val="baseline"/>
                    </w:rPr>
                    <w:drawing>
                      <wp:inline>
                        <wp:extent cx="229101" cy="229235"/>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229101" cy="229235"/>
                                </a:xfrm>
                                <a:prstGeom prst="rect">
                                  <a:avLst/>
                                </a:prstGeom>
                              </pic:spPr>
                            </pic:pic>
                          </a:graphicData>
                        </a:graphic>
                      </wp:inline>
                    </w:drawing>
                  </w:r>
                </w:p>
              </w:tc>
              <w:tc>
                <w:tcPr>
                  <w:tcW w:w="3640" w:type="dxa"/>
                  <w:tcMar>
                    <w:top w:w="0" w:type="dxa"/>
                    <w:left w:w="0" w:type="dxa"/>
                    <w:bottom w:w="200" w:type="dxa"/>
                    <w:right w:w="500" w:type="dxa"/>
                  </w:tcMar>
                  <w:vAlign w:val="top"/>
                  <w:hideMark/>
                </w:tcPr>
                <w:p>
                  <w:pPr>
                    <w:rPr>
                      <w:rStyle w:val="skn-mlo1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Vadodara</w:t>
                  </w:r>
                  <w:r>
                    <w:rPr>
                      <w:rStyle w:val="skn-mlo1ico-txt"/>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390021</w:t>
                  </w:r>
                </w:p>
              </w:tc>
            </w:tr>
          </w:tbl>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right-box"/>
                <w:rFonts w:ascii="Open Sans" w:eastAsia="Open Sans" w:hAnsi="Open Sans" w:cs="Open Sans"/>
                <w:b/>
                <w:bCs/>
                <w:caps/>
                <w:color w:val="1E666F"/>
                <w:spacing w:val="12"/>
                <w:bdr w:val="none" w:sz="0" w:space="0" w:color="auto"/>
                <w:vertAlign w:val="baseline"/>
              </w:rPr>
            </w:pPr>
            <w:r>
              <w:rPr>
                <w:rStyle w:val="skn-mlo1mid-sectionright-box"/>
                <w:rFonts w:ascii="Open Sans" w:eastAsia="Open Sans" w:hAnsi="Open Sans" w:cs="Open Sans"/>
                <w:b/>
                <w:bCs/>
                <w:caps/>
                <w:bdr w:val="none" w:sz="0" w:space="0" w:color="auto"/>
                <w:vertAlign w:val="baseline"/>
              </w:rPr>
              <w:t>Skills</w:t>
            </w:r>
          </w:p>
          <w:p>
            <w:pPr>
              <w:pStyle w:val="p"/>
              <w:numPr>
                <w:ilvl w:val="0"/>
                <w:numId w:val="4"/>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Employee engagement planning</w:t>
            </w:r>
          </w:p>
          <w:p>
            <w:pPr>
              <w:pStyle w:val="p"/>
              <w:numPr>
                <w:ilvl w:val="0"/>
                <w:numId w:val="4"/>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Event management and coordination</w:t>
            </w:r>
          </w:p>
          <w:p>
            <w:pPr>
              <w:pStyle w:val="p"/>
              <w:numPr>
                <w:ilvl w:val="0"/>
                <w:numId w:val="4"/>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HR communication strategies</w:t>
            </w:r>
          </w:p>
          <w:p>
            <w:pPr>
              <w:pStyle w:val="p"/>
              <w:numPr>
                <w:ilvl w:val="0"/>
                <w:numId w:val="4"/>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Culture and team building</w:t>
            </w:r>
          </w:p>
          <w:p>
            <w:pPr>
              <w:pStyle w:val="p"/>
              <w:numPr>
                <w:ilvl w:val="0"/>
                <w:numId w:val="4"/>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Engagement calendar oversight</w:t>
            </w:r>
          </w:p>
          <w:p>
            <w:pPr>
              <w:pStyle w:val="p"/>
              <w:numPr>
                <w:ilvl w:val="0"/>
                <w:numId w:val="4"/>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Employee satisfaction analysis</w:t>
            </w:r>
          </w:p>
          <w:p>
            <w:pPr>
              <w:pStyle w:val="p"/>
              <w:numPr>
                <w:ilvl w:val="0"/>
                <w:numId w:val="4"/>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Pulse survey implementation</w:t>
            </w:r>
          </w:p>
          <w:p>
            <w:pPr>
              <w:pStyle w:val="p"/>
              <w:numPr>
                <w:ilvl w:val="0"/>
                <w:numId w:val="4"/>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MIS reporting and analysis</w:t>
            </w:r>
          </w:p>
          <w:p>
            <w:pPr>
              <w:pStyle w:val="p"/>
              <w:numPr>
                <w:ilvl w:val="0"/>
                <w:numId w:val="4"/>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CSR activity management</w:t>
            </w:r>
          </w:p>
          <w:p>
            <w:pPr>
              <w:pStyle w:val="p"/>
              <w:numPr>
                <w:ilvl w:val="0"/>
                <w:numId w:val="4"/>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Employee welfare initiatives</w:t>
            </w:r>
          </w:p>
          <w:p>
            <w:pPr>
              <w:pStyle w:val="p"/>
              <w:numPr>
                <w:ilvl w:val="0"/>
                <w:numId w:val="4"/>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Grievance resolution support</w:t>
            </w:r>
          </w:p>
          <w:p>
            <w:pPr>
              <w:pStyle w:val="p"/>
              <w:numPr>
                <w:ilvl w:val="0"/>
                <w:numId w:val="4"/>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HR policy execution</w:t>
            </w:r>
          </w:p>
          <w:p>
            <w:pPr>
              <w:pStyle w:val="p"/>
              <w:numPr>
                <w:ilvl w:val="0"/>
                <w:numId w:val="4"/>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Process implementation oversight</w:t>
            </w:r>
          </w:p>
          <w:p>
            <w:pPr>
              <w:pStyle w:val="p"/>
              <w:numPr>
                <w:ilvl w:val="0"/>
                <w:numId w:val="4"/>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Vendor relationship management</w:t>
            </w:r>
          </w:p>
          <w:p>
            <w:pPr>
              <w:pStyle w:val="p"/>
              <w:numPr>
                <w:ilvl w:val="0"/>
                <w:numId w:val="4"/>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Festive celebration planning</w:t>
            </w:r>
          </w:p>
          <w:p>
            <w:pPr>
              <w:pStyle w:val="p"/>
              <w:numPr>
                <w:ilvl w:val="0"/>
                <w:numId w:val="4"/>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Monthly activity organization</w:t>
            </w:r>
          </w:p>
          <w:p>
            <w:pPr>
              <w:pStyle w:val="p"/>
              <w:numPr>
                <w:ilvl w:val="0"/>
                <w:numId w:val="4"/>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Internal newsletter creation</w:t>
            </w:r>
          </w:p>
          <w:p>
            <w:pPr>
              <w:pStyle w:val="p"/>
              <w:numPr>
                <w:ilvl w:val="0"/>
                <w:numId w:val="4"/>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Content drafting for communications</w:t>
            </w:r>
          </w:p>
          <w:p>
            <w:pPr>
              <w:pStyle w:val="p"/>
              <w:numPr>
                <w:ilvl w:val="0"/>
                <w:numId w:val="4"/>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Exit interview facilitation</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color w:val="050505"/>
          <w:sz w:val="20"/>
          <w:szCs w:val="20"/>
          <w:bdr w:val="none" w:sz="0" w:space="0" w:color="auto"/>
          <w:vertAlign w:val="baseline"/>
        </w:rPr>
      </w:pPr>
      <w:r>
        <w:rPr>
          <w:color w:val="FFFFFF"/>
          <w:sz w:val="2"/>
        </w:rPr>
        <w:t>.</w:t>
      </w:r>
      <w:r>
        <w:pict>
          <v:rect id="_x0000_s1027" style="width:226pt;height:750pt;margin-top:21pt;margin-left:386pt;mso-position-horizontal-relative:page;mso-position-vertical-relative:page;position:absolute;z-index:-251656192" o:allowincell="f" filled="t" fillcolor="this" stroked="f">
            <v:fill opacity="0"/>
            <v:path strokeok="f"/>
          </v:rect>
        </w:pict>
      </w:r>
    </w:p>
    <w:sectPr>
      <w:headerReference w:type="default" r:id="rId8"/>
      <w:pgSz w:w="12240" w:h="15840"/>
      <w:pgMar w:top="420" w:right="0" w:bottom="420" w:left="0" w:header="0" w:footer="0"/>
      <w:cols w:space="720"/>
    </w:sectPr>
  </w:body>
</w:document>
</file>

<file path=word/fontTable.xml><?xml version="1.0" encoding="utf-8"?>
<w:fonts xmlns:r="http://schemas.openxmlformats.org/officeDocument/2006/relationships" xmlns:w="http://schemas.openxmlformats.org/wordprocessingml/2006/main">
  <w:font w:name="Arial">
    <w:charset w:val="00"/>
    <w:family w:val="auto"/>
    <w:pitch w:val="default"/>
  </w:font>
  <w:font w:name="Courier New">
    <w:charset w:val="00"/>
    <w:family w:val="auto"/>
    <w:pitch w:val="default"/>
  </w:font>
  <w:font w:name="Open Sans">
    <w:charset w:val="00"/>
    <w:family w:val="auto"/>
    <w:pitch w:val="default"/>
    <w:sig w:usb0="00000000" w:usb1="00000000" w:usb2="00000000" w:usb3="00000000" w:csb0="00000001" w:csb1="00000000"/>
    <w:embedRegular r:id="rId1" w:fontKey="{E9C287DF-67A3-49F6-8980-7733B2117CCF}"/>
    <w:embedBold r:id="rId2" w:fontKey="{271CE888-9D0B-4C71-9764-4C55160EC554}"/>
  </w:font>
  <w:font w:name="Symbol">
    <w:charset w:val="00"/>
    <w:family w:val="auto"/>
    <w:pitch w:val="default"/>
  </w:font>
  <w:font w:name="Times New Roman">
    <w:charset w:val="00"/>
    <w:family w:val="auto"/>
    <w:pitch w:val="default"/>
  </w:font>
  <w:font w:name="Wingdings">
    <w:charset w:val="00"/>
    <w:family w:val="auto"/>
    <w:pitch w:val="default"/>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26pt;height:11in;margin-top:0;margin-left:386pt;mso-position-horizontal-relative:page;mso-position-vertical-relative:page;position:absolute;z-index:-251658240" o:allowincell="f" fillcolor="#f9f9f9" stroked="f">
          <v:path strokeok="f"/>
        </v:rect>
      </w:pic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1E666F"/>
        <w:position w:val="2"/>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1E666F"/>
        <w:position w:val="2"/>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1E666F"/>
        <w:position w:val="2"/>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1E666F"/>
        <w:position w:val="2"/>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1pagesize">
    <w:name w:val="skn-mlo1_pagesize"/>
    <w:basedOn w:val="Normal"/>
  </w:style>
  <w:style w:type="paragraph" w:customStyle="1" w:styleId="skn-mlo1top-section">
    <w:name w:val="skn-mlo1_top-section"/>
    <w:basedOn w:val="Normal"/>
    <w:pPr>
      <w:shd w:val="clear" w:color="auto" w:fill="454545"/>
    </w:pPr>
    <w:rPr>
      <w:shd w:val="clear" w:color="auto" w:fill="454545"/>
    </w:rPr>
  </w:style>
  <w:style w:type="character" w:customStyle="1" w:styleId="skn-mlo1top-sectionleft-boxname-sec">
    <w:name w:val="skn-mlo1_top-section_left-box_name-sec"/>
    <w:basedOn w:val="DefaultParagraphFont"/>
    <w:rPr>
      <w:shd w:val="clear" w:color="auto" w:fill="1E666F"/>
    </w:rPr>
  </w:style>
  <w:style w:type="paragraph" w:customStyle="1" w:styleId="skn-mlo1top-sectionleft-boxname-secdiv">
    <w:name w:val="skn-mlo1_top-section_left-box_name-sec &gt; div"/>
    <w:basedOn w:val="Normal"/>
    <w:pPr>
      <w:pBdr>
        <w:left w:val="none" w:sz="0" w:space="18" w:color="auto"/>
        <w:right w:val="none" w:sz="0" w:space="18" w:color="auto"/>
      </w:pBdr>
    </w:pPr>
  </w:style>
  <w:style w:type="paragraph" w:customStyle="1" w:styleId="skn-mlo1name">
    <w:name w:val="skn-mlo1_name"/>
    <w:basedOn w:val="Normal"/>
    <w:pPr>
      <w:pBdr>
        <w:bottom w:val="none" w:sz="0" w:space="6" w:color="auto"/>
      </w:pBdr>
      <w:spacing w:line="640" w:lineRule="atLeast"/>
    </w:pPr>
    <w:rPr>
      <w:caps/>
      <w:color w:val="FFFFFF"/>
      <w:sz w:val="48"/>
      <w:szCs w:val="48"/>
    </w:rPr>
  </w:style>
  <w:style w:type="character" w:customStyle="1" w:styleId="span">
    <w:name w:val="span"/>
    <w:basedOn w:val="DefaultParagraphFont"/>
    <w:rPr>
      <w:bdr w:val="none" w:sz="0" w:space="0" w:color="auto"/>
      <w:vertAlign w:val="baseline"/>
    </w:rPr>
  </w:style>
  <w:style w:type="paragraph" w:customStyle="1" w:styleId="name-svg">
    <w:name w:val="name-svg"/>
    <w:basedOn w:val="Normal"/>
    <w:pPr>
      <w:spacing w:line="20" w:lineRule="atLeast"/>
    </w:pPr>
  </w:style>
  <w:style w:type="paragraph" w:customStyle="1" w:styleId="skn-mlo1txt-bold">
    <w:name w:val="skn-mlo1_txt-bold"/>
    <w:basedOn w:val="Normal"/>
    <w:rPr>
      <w:b/>
      <w:bCs/>
    </w:rPr>
  </w:style>
  <w:style w:type="paragraph" w:customStyle="1" w:styleId="skn-mlo1top-sectionleft-boxname-secParagraph">
    <w:name w:val="skn-mlo1_top-section_left-box_name-sec Paragraph"/>
    <w:basedOn w:val="Normal"/>
    <w:pPr>
      <w:pBdr>
        <w:top w:val="none" w:sz="0" w:space="0" w:color="auto"/>
        <w:left w:val="none" w:sz="0" w:space="0" w:color="auto"/>
        <w:bottom w:val="none" w:sz="0" w:space="21" w:color="auto"/>
        <w:right w:val="none" w:sz="0" w:space="0" w:color="auto"/>
      </w:pBdr>
      <w:shd w:val="clear" w:color="auto" w:fill="1E666F"/>
      <w:jc w:val="center"/>
      <w:textAlignment w:val="center"/>
    </w:pPr>
    <w:rPr>
      <w:shd w:val="clear" w:color="auto" w:fill="1E666F"/>
    </w:rPr>
  </w:style>
  <w:style w:type="table" w:customStyle="1" w:styleId="skn-mlo1top-sectionleft-box">
    <w:name w:val="skn-mlo1_top-section_left-box"/>
    <w:basedOn w:val="TableNormal"/>
    <w:tblPr/>
  </w:style>
  <w:style w:type="character" w:customStyle="1" w:styleId="skn-mlo1mid-sectionleft-box">
    <w:name w:val="skn-mlo1_mid-section_left-box"/>
    <w:basedOn w:val="DefaultParagraphFont"/>
  </w:style>
  <w:style w:type="paragraph" w:customStyle="1" w:styleId="skn-mlo1mid-sectionleft-boxsectionnth-child1">
    <w:name w:val="skn-mlo1_mid-section_left-box_section_nth-child(1)"/>
    <w:basedOn w:val="Normal"/>
  </w:style>
  <w:style w:type="paragraph" w:customStyle="1" w:styleId="skn-mlo1heading">
    <w:name w:val="skn-mlo1_heading"/>
    <w:basedOn w:val="Normal"/>
  </w:style>
  <w:style w:type="paragraph" w:customStyle="1" w:styleId="skn-mlo1sectiontitle">
    <w:name w:val="skn-mlo1_sectiontitle"/>
    <w:basedOn w:val="Normal"/>
    <w:pPr>
      <w:spacing w:line="300" w:lineRule="atLeast"/>
    </w:pPr>
    <w:rPr>
      <w:b/>
      <w:bCs/>
      <w:caps/>
      <w:color w:val="1E666F"/>
      <w:spacing w:val="12"/>
      <w:sz w:val="24"/>
      <w:szCs w:val="24"/>
    </w:rPr>
  </w:style>
  <w:style w:type="paragraph" w:customStyle="1" w:styleId="skn-mlo1mid-sectionleft-boxparagraph">
    <w:name w:val="skn-mlo1_mid-section_left-box_paragraph"/>
    <w:basedOn w:val="Normal"/>
    <w:pPr>
      <w:pBdr>
        <w:left w:val="none" w:sz="0" w:space="0" w:color="auto"/>
      </w:pBd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1mid-sectionsection">
    <w:name w:val="skn-mlo1_mid-section_section"/>
    <w:basedOn w:val="Normal"/>
  </w:style>
  <w:style w:type="paragraph" w:customStyle="1" w:styleId="skn-mlo1disp-block">
    <w:name w:val="skn-mlo1_disp-block"/>
    <w:basedOn w:val="Normal"/>
  </w:style>
  <w:style w:type="character" w:customStyle="1" w:styleId="skn-mlo1clr-pickr">
    <w:name w:val="skn-mlo1_clr-pickr"/>
    <w:basedOn w:val="DefaultParagraphFont"/>
    <w:rPr>
      <w:color w:val="1E666F"/>
    </w:rPr>
  </w:style>
  <w:style w:type="character" w:customStyle="1" w:styleId="skn-mlo1sprtr">
    <w:name w:val="skn-mlo1_sprtr"/>
    <w:basedOn w:val="DefaultParagraphFont"/>
    <w:rPr>
      <w:rFonts w:ascii="Arial" w:eastAsia="Arial" w:hAnsi="Arial" w:cs="Arial"/>
      <w:color w:val="696969"/>
      <w:sz w:val="25"/>
      <w:szCs w:val="25"/>
    </w:rPr>
  </w:style>
  <w:style w:type="paragraph" w:customStyle="1" w:styleId="skn-mlo1ulli">
    <w:name w:val="skn-mlo1_ul_li"/>
    <w:basedOn w:val="Normal"/>
    <w:pPr>
      <w:pBdr>
        <w:left w:val="none" w:sz="0" w:space="9" w:color="auto"/>
      </w:pBdr>
    </w:pPr>
  </w:style>
  <w:style w:type="paragraph" w:customStyle="1" w:styleId="skn-mlo1edu-secparagraphfirstparagraph">
    <w:name w:val="skn-mlo1_edu-sec_paragraph_firstparagraph"/>
    <w:basedOn w:val="Normal"/>
    <w:pPr>
      <w:pBdr>
        <w:top w:val="none" w:sz="0" w:space="0" w:color="auto"/>
      </w:pBdr>
    </w:pPr>
  </w:style>
  <w:style w:type="character" w:customStyle="1" w:styleId="divCharacter">
    <w:name w:val="div Character"/>
    <w:basedOn w:val="DefaultParagraphFont"/>
    <w:rPr>
      <w:bdr w:val="none" w:sz="0" w:space="0" w:color="auto"/>
      <w:vertAlign w:val="baseline"/>
    </w:rPr>
  </w:style>
  <w:style w:type="character" w:customStyle="1" w:styleId="skn-mlo1detail-txt">
    <w:name w:val="skn-mlo1_detail-txt"/>
    <w:basedOn w:val="DefaultParagraphFont"/>
    <w:rPr>
      <w:sz w:val="22"/>
      <w:szCs w:val="22"/>
    </w:rPr>
  </w:style>
  <w:style w:type="character" w:customStyle="1" w:styleId="skn-mlo1txt-boldCharacter">
    <w:name w:val="skn-mlo1_txt-bold Character"/>
    <w:basedOn w:val="DefaultParagraphFont"/>
    <w:rPr>
      <w:b/>
      <w:bCs/>
    </w:rPr>
  </w:style>
  <w:style w:type="paragraph" w:customStyle="1" w:styleId="skn-mlo1firstparagraph">
    <w:name w:val="skn-mlo1_firstparagraph"/>
    <w:basedOn w:val="Normal"/>
    <w:pPr>
      <w:pBdr>
        <w:top w:val="none" w:sz="0" w:space="0" w:color="auto"/>
      </w:pBdr>
    </w:pPr>
  </w:style>
  <w:style w:type="paragraph" w:customStyle="1" w:styleId="skn-mlo1sectionreference-secparagraphref-upon-request">
    <w:name w:val="skn-mlo1_section_reference-sec_paragraph_ref-upon-request"/>
    <w:basedOn w:val="Normal"/>
  </w:style>
  <w:style w:type="paragraph" w:customStyle="1" w:styleId="skn-mlo1mid-sectionleft-boxParagraph0">
    <w:name w:val="skn-mlo1_mid-section_left-box Paragraph"/>
    <w:basedOn w:val="Normal"/>
  </w:style>
  <w:style w:type="character" w:customStyle="1" w:styleId="skn-mlo1mid-sectionright-box">
    <w:name w:val="skn-mlo1_mid-section_right-box"/>
    <w:basedOn w:val="DefaultParagraphFont"/>
  </w:style>
  <w:style w:type="paragraph" w:customStyle="1" w:styleId="skn-mlo1mid-sectionright-boxsectionnth-child1">
    <w:name w:val="skn-mlo1_mid-section_right-box_section_nth-child(1)"/>
    <w:basedOn w:val="Normal"/>
  </w:style>
  <w:style w:type="character" w:customStyle="1" w:styleId="skn-mlo1ico-svg">
    <w:name w:val="skn-mlo1_ico-svg"/>
    <w:basedOn w:val="DefaultParagraphFont"/>
  </w:style>
  <w:style w:type="character" w:customStyle="1" w:styleId="skn-mlo1ico-txt">
    <w:name w:val="skn-mlo1_ico-txt"/>
    <w:basedOn w:val="DefaultParagraphFont"/>
  </w:style>
  <w:style w:type="table" w:customStyle="1" w:styleId="skn-mlo1icon-row">
    <w:name w:val="skn-mlo1_icon-row"/>
    <w:basedOn w:val="TableNormal"/>
    <w:tblPr/>
  </w:style>
  <w:style w:type="table" w:customStyle="1" w:styleId="skn-mlo1icon-rownth-last-child1">
    <w:name w:val="skn-mlo1_icon-row_nth-last-child(1)"/>
    <w:basedOn w:val="TableNormal"/>
    <w:tblPr/>
  </w:style>
  <w:style w:type="paragraph" w:customStyle="1" w:styleId="skn-mlo1right-boxsinglecolumn">
    <w:name w:val="skn-mlo1_right-box_singlecolumn"/>
    <w:basedOn w:val="Normal"/>
  </w:style>
  <w:style w:type="table" w:customStyle="1" w:styleId="skn-mlo1mid-section">
    <w:name w:val="skn-mlo1_mid-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Megha Vyas</dc:title>
  <cp:revision>0</cp:revision>
</cp:coreProperties>
</file>