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tbl>
      <w:tblPr>
        <w:tblStyle w:val="skn-mly7top-section"/>
        <w:tblW w:w="0" w:type="auto"/>
        <w:tblCellSpacing w:w="0" w:type="dxa"/>
        <w:tblLayout w:type="fixed"/>
        <w:tblLook w:val="05E0"/>
      </w:tblPr>
      <w:tblGrid>
        <w:gridCol w:w="480"/>
        <w:gridCol w:w="3440"/>
        <w:gridCol w:w="240"/>
        <w:gridCol w:w="240"/>
        <w:gridCol w:w="7360"/>
        <w:gridCol w:w="480"/>
      </w:tblGrid>
      <w:tr>
        <w:tblPrEx>
          <w:tblW w:w="0" w:type="auto"/>
          <w:tblCellSpacing w:w="0" w:type="dxa"/>
          <w:tblLayout w:type="fixed"/>
          <w:tblLook w:val="05E0"/>
        </w:tblPrEx>
        <w:trPr>
          <w:tblCellSpacing w:w="0" w:type="dxa"/>
        </w:trPr>
        <w:tc>
          <w:tcPr>
            <w:tcW w:w="480" w:type="dxa"/>
            <w:shd w:val="clear" w:color="auto" w:fill="EBEBEB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rPr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3440" w:type="dxa"/>
            <w:shd w:val="clear" w:color="auto" w:fill="EBEBEB"/>
            <w:tcMar>
              <w:top w:w="480" w:type="dxa"/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8240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59264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arindam.chatterjee.ap@gmail.com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y7cntc-secaddressicon-row"/>
              <w:tblW w:w="0" w:type="auto"/>
              <w:tblCellSpacing w:w="0" w:type="dxa"/>
              <w:tblLayout w:type="fixed"/>
              <w:tblLook w:val="05E0"/>
            </w:tblPr>
            <w:tblGrid>
              <w:gridCol w:w="240"/>
              <w:gridCol w:w="40"/>
              <w:gridCol w:w="324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rHeight w:val="240"/>
                <w:tblCellSpacing w:w="0" w:type="dxa"/>
              </w:trPr>
              <w:tc>
                <w:tcPr>
                  <w:tcW w:w="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jc w:val="center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drawing>
                      <wp:anchor simplePos="0" relativeHeight="251660288" behindDoc="0" locked="0" layoutInCell="1" allowOverlap="1">
                        <wp:simplePos x="0" y="0"/>
                        <wp:positionH relativeFrom="column">
                          <wp:align>center</wp:align>
                        </wp:positionH>
                        <wp:positionV relativeFrom="paragraph">
                          <wp:posOffset>0</wp:posOffset>
                        </wp:positionV>
                        <wp:extent cx="152832" cy="152923"/>
                        <wp:wrapNone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52832" cy="15292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top-sectionleft-box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3240" w:type="dxa"/>
                  <w:tcMar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>
                  <w:pPr>
                    <w:spacing w:line="240" w:lineRule="atLeast"/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y7cntc-secaddressicon-row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spacing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Professional Summary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before="200" w:after="200" w:line="28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Experienced Accounts Payable Executive with expertise in managing end-to-end AP operations, vendor reconciliation, and ensuring compliance with TDS and GST regulations. Skilled in ERP systems, purchase order matching, and preparing detailed payables reports to support financial decision-making. Ready to contribute strong analytical and organizational abilities to streamline processes and optimize accounts payable operations.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kli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Skills</w:t>
            </w:r>
          </w:p>
          <w:p>
            <w:pPr>
              <w:numPr>
                <w:ilvl w:val="0"/>
                <w:numId w:val="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paragraphfirst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Accounts Payable (AP) Cycle</w:t>
            </w:r>
          </w:p>
          <w:p>
            <w:pPr>
              <w:numPr>
                <w:ilvl w:val="0"/>
                <w:numId w:val="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Invoice Processing &amp; Verification</w:t>
            </w:r>
          </w:p>
          <w:p>
            <w:pPr>
              <w:numPr>
                <w:ilvl w:val="0"/>
                <w:numId w:val="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2-way / 3-way Matching</w:t>
            </w:r>
          </w:p>
          <w:p>
            <w:pPr>
              <w:numPr>
                <w:ilvl w:val="0"/>
                <w:numId w:val="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Vendor Management &amp; Reconciliation</w:t>
            </w:r>
          </w:p>
          <w:p>
            <w:pPr>
              <w:numPr>
                <w:ilvl w:val="0"/>
                <w:numId w:val="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Payment Processing (NEFT/RTGS)</w:t>
            </w:r>
          </w:p>
          <w:p>
            <w:pPr>
              <w:numPr>
                <w:ilvl w:val="0"/>
                <w:numId w:val="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TDS &amp; GST Compliance</w:t>
            </w:r>
          </w:p>
          <w:p>
            <w:pPr>
              <w:numPr>
                <w:ilvl w:val="0"/>
                <w:numId w:val="7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Purchase Order (PO) Matching</w:t>
            </w:r>
          </w:p>
          <w:p>
            <w:pPr>
              <w:numPr>
                <w:ilvl w:val="0"/>
                <w:numId w:val="8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Expense Accounting</w:t>
            </w:r>
          </w:p>
          <w:p>
            <w:pPr>
              <w:numPr>
                <w:ilvl w:val="0"/>
                <w:numId w:val="9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Ageing Analysis &amp; Payables Reporting</w:t>
            </w:r>
          </w:p>
          <w:p>
            <w:pPr>
              <w:numPr>
                <w:ilvl w:val="0"/>
                <w:numId w:val="10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Month-End Closing Support</w:t>
            </w:r>
          </w:p>
          <w:p>
            <w:pPr>
              <w:numPr>
                <w:ilvl w:val="0"/>
                <w:numId w:val="11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MIS Reporting</w:t>
            </w:r>
          </w:p>
          <w:p>
            <w:pPr>
              <w:numPr>
                <w:ilvl w:val="0"/>
                <w:numId w:val="12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Bank Reconciliations</w:t>
            </w:r>
          </w:p>
          <w:p>
            <w:pPr>
              <w:numPr>
                <w:ilvl w:val="0"/>
                <w:numId w:val="13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Knowledge of Hospital Procurement System</w:t>
            </w:r>
          </w:p>
          <w:p>
            <w:pPr>
              <w:numPr>
                <w:ilvl w:val="0"/>
                <w:numId w:val="14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SAP</w:t>
            </w:r>
          </w:p>
          <w:p>
            <w:pPr>
              <w:numPr>
                <w:ilvl w:val="0"/>
                <w:numId w:val="15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Tally</w:t>
            </w:r>
          </w:p>
          <w:p>
            <w:pPr>
              <w:numPr>
                <w:ilvl w:val="0"/>
                <w:numId w:val="16"/>
              </w:numPr>
              <w:spacing w:before="280" w:after="200" w:line="240" w:lineRule="atLeast"/>
              <w:ind w:left="250" w:right="250" w:hanging="192"/>
              <w:jc w:val="left"/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klisecdivparagraph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ERP Systems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0"/>
                <w:szCs w:val="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Certifications</w:t>
            </w:r>
          </w:p>
          <w:p>
            <w:pPr>
              <w:numPr>
                <w:ilvl w:val="0"/>
                <w:numId w:val="17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Certification in Advanced Tally &amp; GST</w:t>
            </w:r>
          </w:p>
          <w:p>
            <w:pPr>
              <w:numPr>
                <w:ilvl w:val="0"/>
                <w:numId w:val="18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SAP FI (End-User) Training Certification</w:t>
            </w:r>
          </w:p>
          <w:p>
            <w:pPr>
              <w:numPr>
                <w:ilvl w:val="0"/>
                <w:numId w:val="19"/>
              </w:numPr>
              <w:spacing w:before="200" w:after="200" w:line="240" w:lineRule="atLeast"/>
              <w:ind w:left="260" w:right="0" w:hanging="252"/>
              <w:jc w:val="lef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Diploma in Accounting &amp; Taxation (if applicable)</w:t>
            </w:r>
          </w:p>
          <w:p>
            <w:pPr>
              <w:spacing w:line="40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heading"/>
              <w:spacing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References</w:t>
            </w:r>
          </w:p>
          <w:p>
            <w:pPr>
              <w:spacing w:line="24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pStyle w:val="skn-mly7similar-secparagraph"/>
              <w:spacing w:before="8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xsltstaticchange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References available upon request</w:t>
            </w:r>
          </w:p>
          <w:p>
            <w:pPr>
              <w:spacing w:after="0" w:line="160" w:lineRule="exac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40" w:type="dxa"/>
            <w:shd w:val="clear" w:color="auto" w:fill="EBEBEB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24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after="0" w:line="240" w:lineRule="atLeast"/>
              <w:rPr>
                <w:rStyle w:val="skn-mly7top-sectionleft-box"/>
                <w:rFonts w:ascii="Open Sans" w:eastAsia="Open Sans" w:hAnsi="Open Sans" w:cs="Open Sans"/>
                <w:b w:val="0"/>
                <w:bCs w:val="0"/>
                <w:color w:val="181818"/>
                <w:sz w:val="2"/>
                <w:szCs w:val="2"/>
              </w:rPr>
            </w:pPr>
          </w:p>
        </w:tc>
        <w:tc>
          <w:tcPr>
            <w:tcW w:w="7360" w:type="dxa"/>
            <w:tcMar>
              <w:left w:w="0" w:type="dxa"/>
              <w:bottom w:w="480" w:type="dxa"/>
              <w:right w:w="0" w:type="dxa"/>
            </w:tcMar>
            <w:vAlign w:val="top"/>
            <w:hideMark/>
          </w:tcPr>
          <w:tbl>
            <w:tblPr>
              <w:tblStyle w:val="skn-mly7pict-table"/>
              <w:tblW w:w="0" w:type="auto"/>
              <w:tblCellSpacing w:w="0" w:type="dxa"/>
              <w:tblLayout w:type="fixed"/>
              <w:tblLook w:val="05E0"/>
            </w:tblPr>
            <w:tblGrid>
              <w:gridCol w:w="73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73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760" w:lineRule="atLeast"/>
                    <w:textAlignment w:val="top"/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999999"/>
                      <w:sz w:val="60"/>
                      <w:szCs w:val="60"/>
                    </w:rPr>
                  </w:pPr>
                  <w:r>
                    <w:rPr>
                      <w:rStyle w:val="fnam"/>
                      <w:rFonts w:ascii="Raleway" w:eastAsia="Raleway" w:hAnsi="Raleway" w:cs="Raleway"/>
                      <w:b/>
                      <w:bCs/>
                      <w:caps/>
                      <w:color w:val="999999"/>
                      <w:sz w:val="60"/>
                      <w:szCs w:val="60"/>
                    </w:rPr>
                    <w:t>Arindam</w:t>
                  </w:r>
                  <w:r>
                    <w:rPr>
                      <w:rStyle w:val="skn-mly7top-sectionsectionnth-last-child1Character"/>
                      <w:rFonts w:ascii="Raleway" w:eastAsia="Raleway" w:hAnsi="Raleway" w:cs="Raleway"/>
                      <w:b/>
                      <w:bCs/>
                      <w:caps/>
                      <w:color w:val="999999"/>
                      <w:sz w:val="60"/>
                      <w:szCs w:val="60"/>
                    </w:rPr>
                    <w:t xml:space="preserve"> </w:t>
                  </w:r>
                  <w:r>
                    <w:rPr>
                      <w:rStyle w:val="lnam"/>
                      <w:rFonts w:ascii="Raleway" w:eastAsia="Raleway" w:hAnsi="Raleway" w:cs="Raleway"/>
                      <w:b/>
                      <w:bCs/>
                      <w:caps/>
                      <w:color w:val="999999"/>
                      <w:sz w:val="60"/>
                      <w:szCs w:val="60"/>
                    </w:rPr>
                    <w:t>Chatterjee</w:t>
                  </w:r>
                </w:p>
                <w:p>
                  <w:pPr>
                    <w:pStyle w:val="skn-mly7resume-title"/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  <w:sz w:val="28"/>
                      <w:szCs w:val="28"/>
                    </w:rPr>
                  </w:pPr>
                  <w:r>
                    <w:rPr>
                      <w:rStyle w:val="skn-mly7top-sectionsectionnth-last-child1Character"/>
                      <w:rFonts w:ascii="Open Sans" w:eastAsia="Open Sans" w:hAnsi="Open Sans" w:cs="Open Sans"/>
                      <w:b/>
                      <w:bCs/>
                      <w:color w:val="181818"/>
                    </w:rPr>
                    <w:t>Accounts Payable Executive</w:t>
                  </w:r>
                </w:p>
                <w:p>
                  <w:pPr>
                    <w:pStyle w:val="skn-mly7top-sectionsectionnth-last-child1"/>
                    <w:spacing w:line="240" w:lineRule="atLeast"/>
                    <w:rPr>
                      <w:rStyle w:val="skn-mly7top-sectionsectionnth-last-child1Character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Experience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Accounts Payable Executive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Medisys Healthcare Group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2021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Present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Managing end-to-end AP operations for hospital consumables, medical equipment vendors, and outsourced service providers.</w:t>
            </w:r>
          </w:p>
          <w:p>
            <w:pPr>
              <w:pStyle w:val="skn-mly7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Verifying invoices, matching them with GRNs and purchase orders, and ensuring accurate entry into ERP.</w:t>
            </w:r>
          </w:p>
          <w:p>
            <w:pPr>
              <w:pStyle w:val="skn-mly7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Preparing vendor payment schedules based on ageing, terms, and cash-flow priorities.</w:t>
            </w:r>
          </w:p>
          <w:p>
            <w:pPr>
              <w:pStyle w:val="skn-mly7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Coordinating with procurement teams to resolve discrepancies in quantities, rates, and GST components.</w:t>
            </w:r>
          </w:p>
          <w:p>
            <w:pPr>
              <w:pStyle w:val="skn-mly7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Handling TDS deductions, GST credit reconciliation, and supporting statutory compliance.</w:t>
            </w:r>
          </w:p>
          <w:p>
            <w:pPr>
              <w:pStyle w:val="skn-mly7expr-seculli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Preparing monthly AP reports including ageing analysis, pending invoices, and payment summaries.</w:t>
            </w:r>
          </w:p>
          <w:p>
            <w:pPr>
              <w:pStyle w:val="skn-mly7ullinth-last-child1"/>
              <w:numPr>
                <w:ilvl w:val="0"/>
                <w:numId w:val="20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Ensuring all AP documentation is audit-ready and properly archived.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Junior Accounts Executive – AP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Lifeline Hospitals Pvt. Ltd.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2018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2021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21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Processed daily invoices related to pharmacy purchases, lab consumables, utilities, and general hospital expenses.</w:t>
            </w:r>
          </w:p>
          <w:p>
            <w:pPr>
              <w:pStyle w:val="skn-mly7expr-seculli"/>
              <w:numPr>
                <w:ilvl w:val="0"/>
                <w:numId w:val="2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Supported vendor reconciliation by tracking outstanding invoices and disputed items.</w:t>
            </w:r>
          </w:p>
          <w:p>
            <w:pPr>
              <w:pStyle w:val="skn-mly7expr-seculli"/>
              <w:numPr>
                <w:ilvl w:val="0"/>
                <w:numId w:val="2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Ensured timely release of payments after approval from finance and procurement teams.</w:t>
            </w:r>
          </w:p>
          <w:p>
            <w:pPr>
              <w:pStyle w:val="skn-mly7expr-seculli"/>
              <w:numPr>
                <w:ilvl w:val="0"/>
                <w:numId w:val="21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Coordinated with multiple departments—pharmacy, lab, radiology, and admin—for invoice validations.</w:t>
            </w:r>
          </w:p>
          <w:p>
            <w:pPr>
              <w:pStyle w:val="skn-mly7ullinth-last-child1"/>
              <w:numPr>
                <w:ilvl w:val="0"/>
                <w:numId w:val="21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Assisted in monthly closings by preparing journal entries and expense schedules.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txt-bold"/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Accounts Assistant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Sunrise Medical &amp; Diagnostics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bottom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2016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– 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Jan 2018</w:t>
                  </w:r>
                </w:p>
                <w:p>
                  <w:pPr>
                    <w:spacing w:line="240" w:lineRule="atLeast"/>
                    <w:ind w:left="0" w:right="0"/>
                    <w:jc w:val="righ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Kolkata</w:t>
                  </w: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</w:tr>
          </w:tbl>
          <w:p>
            <w:pPr>
              <w:pStyle w:val="skn-mly7expr-seculli"/>
              <w:numPr>
                <w:ilvl w:val="0"/>
                <w:numId w:val="22"/>
              </w:numPr>
              <w:pBdr>
                <w:left w:val="none" w:sz="0" w:space="3" w:color="auto"/>
              </w:pBdr>
              <w:spacing w:before="160"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Entered supplier invoices, maintained payment records, and supported the finance department in day-to-day activities.</w:t>
            </w:r>
          </w:p>
          <w:p>
            <w:pPr>
              <w:pStyle w:val="skn-mly7expr-seculli"/>
              <w:numPr>
                <w:ilvl w:val="0"/>
                <w:numId w:val="22"/>
              </w:numPr>
              <w:pBdr>
                <w:left w:val="none" w:sz="0" w:space="3" w:color="auto"/>
              </w:pBdr>
              <w:spacing w:after="8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Managed petty cash and ensured proper documentation of daily operational expenses.</w:t>
            </w:r>
          </w:p>
          <w:p>
            <w:pPr>
              <w:pStyle w:val="skn-mly7ullinth-last-child1"/>
              <w:numPr>
                <w:ilvl w:val="0"/>
                <w:numId w:val="22"/>
              </w:numPr>
              <w:pBdr>
                <w:left w:val="none" w:sz="0" w:space="3" w:color="auto"/>
              </w:pBdr>
              <w:spacing w:after="0" w:line="240" w:lineRule="atLeast"/>
              <w:ind w:left="380" w:right="0" w:hanging="252"/>
              <w:jc w:val="lef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5D5D5D"/>
                <w:sz w:val="20"/>
                <w:szCs w:val="20"/>
              </w:rPr>
              <w:t>Provided support in internal audits and vendor statement reconciliation.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Education</w:t>
            </w:r>
          </w:p>
          <w:p>
            <w:pPr>
              <w:spacing w:line="24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Bachelor of Commerce (B.Com)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University of Calcutta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paragraphfirstparagraphjobpaddingcellParagraph"/>
                    <w:spacing w:line="240" w:lineRule="atLeast"/>
                    <w:ind w:left="0" w:right="0"/>
                    <w:jc w:val="left"/>
                    <w:textAlignment w:val="top"/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paragraphfirstparagraphjobpaddingcell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Higher Secondary Certificate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xsltstaticchange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Commerce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WBCHSE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y7right-boxjob-position"/>
              <w:tblW w:w="0" w:type="auto"/>
              <w:tblCellSpacing w:w="0" w:type="dxa"/>
              <w:tblLayout w:type="fixed"/>
              <w:tblLook w:val="05E0"/>
            </w:tblPr>
            <w:tblGrid>
              <w:gridCol w:w="4400"/>
              <w:gridCol w:w="200"/>
              <w:gridCol w:w="2760"/>
            </w:tblGrid>
            <w:tr>
              <w:tblPrEx>
                <w:tblW w:w="0" w:type="auto"/>
                <w:tblCellSpacing w:w="0" w:type="dxa"/>
                <w:tblLayout w:type="fixed"/>
                <w:tblLook w:val="05E0"/>
              </w:tblPrEx>
              <w:trPr>
                <w:tblCellSpacing w:w="0" w:type="dxa"/>
              </w:trPr>
              <w:tc>
                <w:tcPr>
                  <w:tcW w:w="440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Secondary School Certificate</w:t>
                  </w:r>
                  <w:r>
                    <w:rPr>
                      <w:rStyle w:val="skn-mly7right-boxeducationjob-details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educationjob-details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WBBSE</w:t>
                  </w:r>
                </w:p>
              </w:tc>
              <w:tc>
                <w:tcPr>
                  <w:tcW w:w="200" w:type="dxa"/>
                  <w:tcMar>
                    <w:top w:w="240" w:type="dxa"/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right-boxjob-positiondivParagraph"/>
                    <w:pBdr>
                      <w:top w:val="none" w:sz="0" w:space="12" w:color="auto"/>
                    </w:pBdr>
                    <w:spacing w:line="240" w:lineRule="atLeast"/>
                    <w:ind w:left="0" w:right="0"/>
                    <w:jc w:val="left"/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y7right-boxjob-positiondiv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760" w:type="dxa"/>
                  <w:tcMar>
                    <w:left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skn-mly7disp-block"/>
                    <w:pBdr>
                      <w:top w:val="none" w:sz="0" w:space="2" w:color="auto"/>
                    </w:pBdr>
                    <w:spacing w:line="240" w:lineRule="atLeast"/>
                    <w:ind w:left="0" w:right="0"/>
                    <w:jc w:val="right"/>
                    <w:rPr>
                      <w:rStyle w:val="skn-mly7right-boxeducationjob-date"/>
                      <w:rFonts w:ascii="Open Sans" w:eastAsia="Open Sans" w:hAnsi="Open Sans" w:cs="Open Sans"/>
                      <w:b w:val="0"/>
                      <w:bCs w:val="0"/>
                      <w:color w:val="181818"/>
                      <w:sz w:val="20"/>
                      <w:szCs w:val="20"/>
                    </w:rPr>
                  </w:pPr>
                </w:p>
              </w:tc>
            </w:tr>
          </w:tbl>
          <w:p>
            <w:pPr>
              <w:pStyle w:val="skn-mly7top-sectionright-boxeducationparagraphempty-div"/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vanish/>
                <w:color w:val="181818"/>
                <w:sz w:val="20"/>
                <w:szCs w:val="20"/>
              </w:rPr>
              <w:t> </w:t>
            </w:r>
          </w:p>
          <w:p>
            <w:pPr>
              <w:spacing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sectiontitle"/>
                <w:b/>
                <w:bCs/>
                <w:caps/>
                <w:color w:val="181818"/>
              </w:rPr>
              <w:t>Candidate</w:t>
            </w:r>
          </w:p>
          <w:p>
            <w:pPr>
              <w:pStyle w:val="skn-mly7top-sectionright-boxsinglecolumn"/>
              <w:spacing w:line="240" w:lineRule="atLeast"/>
              <w:ind w:left="0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Arindam Chatterjee, +91 98765 43210, arindam.chatterjee.ap@gmail.com, Salt Lake Sector III, Kolkata, West Bengal</w:t>
            </w:r>
          </w:p>
          <w:p>
            <w:pPr>
              <w:spacing w:after="0" w:line="400" w:lineRule="exac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  <w:r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  <w:t> </w:t>
            </w:r>
          </w:p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  <w:tc>
          <w:tcPr>
            <w:tcW w:w="480" w:type="dxa"/>
            <w:tcMar>
              <w:top w:w="480" w:type="dxa"/>
              <w:left w:w="0" w:type="dxa"/>
              <w:right w:w="0" w:type="dxa"/>
            </w:tcMar>
            <w:vAlign w:val="center"/>
            <w:hideMark/>
          </w:tcPr>
          <w:p>
            <w:pPr>
              <w:spacing w:line="240" w:lineRule="atLeast"/>
              <w:rPr>
                <w:rStyle w:val="skn-mly7top-sectionright-box"/>
                <w:rFonts w:ascii="Open Sans" w:eastAsia="Open Sans" w:hAnsi="Open Sans" w:cs="Open Sans"/>
                <w:b w:val="0"/>
                <w:bCs w:val="0"/>
                <w:color w:val="181818"/>
                <w:sz w:val="20"/>
                <w:szCs w:val="20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Fonts w:ascii="Open Sans" w:eastAsia="Open Sans" w:hAnsi="Open Sans" w:cs="Open Sans"/>
          <w:b w:val="0"/>
          <w:bCs w:val="0"/>
          <w:color w:val="181818"/>
          <w:sz w:val="20"/>
          <w:szCs w:val="20"/>
        </w:rPr>
      </w:pPr>
      <w:r>
        <w:rPr>
          <w:color w:val="FFFFFF"/>
          <w:sz w:val="2"/>
        </w:rPr>
        <w:t>.</w:t>
      </w:r>
    </w:p>
    <w:sectPr>
      <w:headerReference w:type="default" r:id="rId7"/>
      <w:pgSz w:w="12240" w:h="15840"/>
      <w:pgMar w:top="0" w:right="0" w:bottom="0" w:left="0" w:header="0" w:foo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Open Sans">
    <w:charset w:val="00"/>
    <w:family w:val="auto"/>
    <w:pitch w:val="default"/>
    <w:sig w:usb0="00000000" w:usb1="00000000" w:usb2="00000000" w:usb3="00000000" w:csb0="00000001" w:csb1="00000000"/>
    <w:embedRegular r:id="rId1" w:fontKey="{5EFBC7B1-6743-4E9E-BBC9-FB08DB51E2E9}"/>
    <w:embedBold r:id="rId2" w:fontKey="{B6F1CF55-F54F-4466-9341-F367B6C006C8}"/>
  </w:font>
  <w:font w:name="Raleway">
    <w:charset w:val="00"/>
    <w:family w:val="auto"/>
    <w:pitch w:val="default"/>
    <w:embedRegular r:id="rId3" w:fontKey="{BC545C6E-6EC1-4CB3-985E-46DC731D79B7}"/>
    <w:embedBold r:id="rId4" w:fontKey="{629DB590-3E7F-4799-B6CE-1392555F5E80}"/>
  </w:font>
  <w:font w:name="Open Sans SemiBold">
    <w:charset w:val="00"/>
    <w:family w:val="auto"/>
    <w:pitch w:val="default"/>
    <w:embedRegular r:id="rId5" w:fontKey="{61785D3C-17FB-4741-AD00-3DF6E9B97F22}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space="0" w:color="auto"/>
      </w:pBdr>
      <w:spacing w:before="0" w:after="0" w:line="20" w:lineRule="auto"/>
    </w:pPr>
    <w:r>
      <w:pict>
        <v:rect id="_x0000_s2049" style="width:208pt;height:1000pt;margin-top:0;margin-left:0;mso-position-horizontal-relative:page;mso-position-vertical-relative:page;position:absolute;z-index:-251658240" o:allowincell="f" fillcolor="#d6d6d6" stroked="f">
          <v:path strokeok="f"/>
        </v:rect>
      </w:pict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59264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8242300</wp:posOffset>
          </wp:positionV>
          <wp:extent cx="5118735" cy="1817749"/>
          <wp:wrapNone/>
          <wp:docPr id="100009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9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5118735" cy="181774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skn-mly7top-sectionright-box"/>
        <w:rFonts w:ascii="Open Sans" w:eastAsia="Open Sans" w:hAnsi="Open Sans" w:cs="Open Sans"/>
        <w:b w:val="0"/>
        <w:bCs w:val="0"/>
        <w:color w:val="181818"/>
        <w:sz w:val="20"/>
        <w:szCs w:val="20"/>
      </w:rPr>
      <w:drawing>
        <wp:anchor simplePos="0" relativeHeight="251660288" behindDoc="1" locked="0" layoutInCell="1" allowOverlap="1">
          <wp:simplePos x="0" y="0"/>
          <wp:positionH relativeFrom="column">
            <wp:posOffset>2641600</wp:posOffset>
          </wp:positionH>
          <wp:positionV relativeFrom="paragraph">
            <wp:posOffset>0</wp:posOffset>
          </wp:positionV>
          <wp:extent cx="5118735" cy="2664884"/>
          <wp:wrapNone/>
          <wp:docPr id="100007" name=""/>
          <wp:cNvGraphicFramePr>
            <a:graphicFrameLocks xmlns:a="http://schemas.openxmlformats.org/drawingml/2006/main" noChangeAspect="0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7" name=""/>
                  <pic:cNvPicPr>
                    <a:picLocks noChangeAspect="0"/>
                  </pic:cNvPicPr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5118735" cy="266488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  <w:r>
      <w:rPr>
        <w:color w:val="FFFFFF"/>
        <w:sz w:val="2"/>
      </w:rPr>
      <w:t>.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color w:val="5D5D5D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y7pagesize">
    <w:name w:val="skn-mly7_pagesize"/>
    <w:basedOn w:val="Normal"/>
  </w:style>
  <w:style w:type="character" w:customStyle="1" w:styleId="skn-mly7top-sectionleftboxleftpaddingcell">
    <w:name w:val="skn-mly7_top-section_leftboxleftpaddingcell"/>
    <w:basedOn w:val="DefaultParagraphFont"/>
  </w:style>
  <w:style w:type="character" w:customStyle="1" w:styleId="skn-mly7top-sectionleft-box">
    <w:name w:val="skn-mly7_top-section_left-box"/>
    <w:basedOn w:val="DefaultParagraphFont"/>
  </w:style>
  <w:style w:type="paragraph" w:customStyle="1" w:styleId="skn-mly7top-sectionleft-boxsectioncntc-sec">
    <w:name w:val="skn-mly7_top-section_left-box_section_cntc-sec"/>
    <w:basedOn w:val="Normal"/>
    <w:pPr>
      <w:pBdr>
        <w:top w:val="none" w:sz="0" w:space="24" w:color="auto"/>
      </w:pBdr>
    </w:pPr>
  </w:style>
  <w:style w:type="paragraph" w:customStyle="1" w:styleId="skn-mly7address">
    <w:name w:val="skn-mly7_address"/>
    <w:basedOn w:val="Normal"/>
  </w:style>
  <w:style w:type="character" w:customStyle="1" w:styleId="skn-mly7cntc-secaddressicon-rowdiv">
    <w:name w:val="skn-mly7_cntc-sec_address_icon-row &gt; div"/>
    <w:basedOn w:val="DefaultParagraphFont"/>
  </w:style>
  <w:style w:type="table" w:customStyle="1" w:styleId="skn-mly7cntc-secaddressicon-row">
    <w:name w:val="skn-mly7_cntc-sec_address_icon-row"/>
    <w:basedOn w:val="TableNormal"/>
    <w:tblPr/>
  </w:style>
  <w:style w:type="paragraph" w:customStyle="1" w:styleId="skn-mly7section">
    <w:name w:val="skn-mly7_section"/>
    <w:basedOn w:val="Normal"/>
  </w:style>
  <w:style w:type="character" w:customStyle="1" w:styleId="skn-mly7sectiontitle">
    <w:name w:val="skn-mly7_sectiontitle"/>
    <w:basedOn w:val="DefaultParagraphFont"/>
    <w:rPr>
      <w:rFonts w:ascii="Raleway" w:eastAsia="Raleway" w:hAnsi="Raleway" w:cs="Raleway"/>
      <w:b/>
      <w:bCs/>
      <w:caps/>
      <w:spacing w:val="6"/>
      <w:sz w:val="24"/>
      <w:szCs w:val="24"/>
    </w:rPr>
  </w:style>
  <w:style w:type="paragraph" w:customStyle="1" w:styleId="skn-mly7sklisecheading">
    <w:name w:val="skn-mly7_skli_sec_heading"/>
    <w:basedOn w:val="Normal"/>
  </w:style>
  <w:style w:type="character" w:customStyle="1" w:styleId="skn-mly7sklisecparagraphfirstparagraph">
    <w:name w:val="skn-mly7_skli_sec_paragraph_firstparagraph"/>
    <w:basedOn w:val="DefaultParagraphFont"/>
  </w:style>
  <w:style w:type="paragraph" w:customStyle="1" w:styleId="skn-mly7ullinth-last-child1">
    <w:name w:val="skn-mly7_ul_li_nth-last-child(1)"/>
    <w:basedOn w:val="Normal"/>
  </w:style>
  <w:style w:type="character" w:customStyle="1" w:styleId="skn-mly7sklisecdivparagraph">
    <w:name w:val="skn-mly7_skli_sec_div_paragraph"/>
    <w:basedOn w:val="DefaultParagraphFont"/>
  </w:style>
  <w:style w:type="paragraph" w:customStyle="1" w:styleId="skn-mly7similar-secheading">
    <w:name w:val="skn-mly7_similar-sec_heading"/>
    <w:basedOn w:val="Normal"/>
  </w:style>
  <w:style w:type="paragraph" w:customStyle="1" w:styleId="skn-mly7similar-secparagraph">
    <w:name w:val="skn-mly7_similar-sec_paragraph"/>
    <w:basedOn w:val="Normal"/>
  </w:style>
  <w:style w:type="paragraph" w:customStyle="1" w:styleId="skn-mly7top-sectionsectionnth-last-child1">
    <w:name w:val="skn-mly7_top-section_section_nth-last-child(1)"/>
    <w:basedOn w:val="Normal"/>
  </w:style>
  <w:style w:type="character" w:customStyle="1" w:styleId="xsltstaticchange">
    <w:name w:val="xslt_static_change"/>
    <w:basedOn w:val="DefaultParagraphFont"/>
  </w:style>
  <w:style w:type="character" w:customStyle="1" w:styleId="skn-mly7top-sectionleftboxrightpaddingcell">
    <w:name w:val="skn-mly7_top-section_leftboxrightpaddingcell"/>
    <w:basedOn w:val="DefaultParagraphFont"/>
  </w:style>
  <w:style w:type="character" w:customStyle="1" w:styleId="skn-mly7top-sectionrightboxleftpaddingcell">
    <w:name w:val="skn-mly7_top-section_rightboxleftpaddingcell"/>
    <w:basedOn w:val="DefaultParagraphFont"/>
  </w:style>
  <w:style w:type="character" w:customStyle="1" w:styleId="skn-mly7top-sectionright-box">
    <w:name w:val="skn-mly7_top-section_right-box"/>
    <w:basedOn w:val="DefaultParagraphFont"/>
  </w:style>
  <w:style w:type="character" w:customStyle="1" w:styleId="skn-mly7top-sectionsectionnth-last-child1Character">
    <w:name w:val="skn-mly7_top-section_section_nth-last-child(1) Character"/>
    <w:basedOn w:val="DefaultParagraphFont"/>
  </w:style>
  <w:style w:type="paragraph" w:customStyle="1" w:styleId="skn-mly7txt-bold">
    <w:name w:val="skn-mly7_txt-bold"/>
    <w:basedOn w:val="Normal"/>
    <w:rPr>
      <w:b/>
      <w:bCs/>
    </w:rPr>
  </w:style>
  <w:style w:type="character" w:customStyle="1" w:styleId="fnam">
    <w:name w:val="fnam"/>
    <w:basedOn w:val="DefaultParagraphFont"/>
  </w:style>
  <w:style w:type="character" w:customStyle="1" w:styleId="lnam">
    <w:name w:val="lnam"/>
    <w:basedOn w:val="DefaultParagraphFont"/>
  </w:style>
  <w:style w:type="paragraph" w:customStyle="1" w:styleId="skn-mly7resume-title">
    <w:name w:val="skn-mly7_resume-title"/>
    <w:basedOn w:val="Normal"/>
    <w:pPr>
      <w:spacing w:line="320" w:lineRule="atLeast"/>
    </w:pPr>
    <w:rPr>
      <w:b/>
      <w:bCs/>
      <w:sz w:val="28"/>
      <w:szCs w:val="28"/>
    </w:rPr>
  </w:style>
  <w:style w:type="table" w:customStyle="1" w:styleId="skn-mly7pict-table">
    <w:name w:val="skn-mly7_pict-table"/>
    <w:basedOn w:val="TableNormal"/>
    <w:tblPr/>
  </w:style>
  <w:style w:type="paragraph" w:customStyle="1" w:styleId="skn-mly7top-pattern">
    <w:name w:val="skn-mly7_top-pattern"/>
    <w:basedOn w:val="Normal"/>
  </w:style>
  <w:style w:type="paragraph" w:customStyle="1" w:styleId="skn-mly7top-sectionright-boxsinglecolumn">
    <w:name w:val="skn-mly7_top-section_right-box_singlecolumn"/>
    <w:basedOn w:val="Normal"/>
  </w:style>
  <w:style w:type="character" w:customStyle="1" w:styleId="skn-mly7right-boxjob-positiondiv">
    <w:name w:val="skn-mly7_right-box_job-position &gt; div"/>
    <w:basedOn w:val="DefaultParagraphFont"/>
  </w:style>
  <w:style w:type="paragraph" w:customStyle="1" w:styleId="skn-mly7disp-block">
    <w:name w:val="skn-mly7_disp-block"/>
    <w:basedOn w:val="Normal"/>
  </w:style>
  <w:style w:type="character" w:customStyle="1" w:styleId="skn-mly7right-boxparagraphfirstparagraphjobpaddingcell">
    <w:name w:val="skn-mly7_right-box_paragraph_firstparagraph_jobpaddingcell"/>
    <w:basedOn w:val="DefaultParagraphFont"/>
  </w:style>
  <w:style w:type="paragraph" w:customStyle="1" w:styleId="skn-mly7right-boxparagraphfirstparagraphjobpaddingcellParagraph">
    <w:name w:val="skn-mly7_right-box_paragraph_firstparagraph_jobpaddingcell Paragraph"/>
    <w:basedOn w:val="Normal"/>
    <w:pPr>
      <w:pBdr>
        <w:top w:val="none" w:sz="0" w:space="0" w:color="auto"/>
      </w:pBdr>
    </w:pPr>
  </w:style>
  <w:style w:type="table" w:customStyle="1" w:styleId="skn-mly7right-boxjob-position">
    <w:name w:val="skn-mly7_right-box_job-position"/>
    <w:basedOn w:val="TableNormal"/>
    <w:tblPr/>
  </w:style>
  <w:style w:type="paragraph" w:customStyle="1" w:styleId="skn-mly7expr-seculli">
    <w:name w:val="skn-mly7_expr-sec_ul_li"/>
    <w:basedOn w:val="Normal"/>
  </w:style>
  <w:style w:type="character" w:customStyle="1" w:styleId="skn-mly7expr-seculliCharacter">
    <w:name w:val="skn-mly7_expr-sec_ul_li Character"/>
    <w:basedOn w:val="DefaultParagraphFont"/>
  </w:style>
  <w:style w:type="character" w:customStyle="1" w:styleId="skn-mly7ullinth-last-child1Character">
    <w:name w:val="skn-mly7_ul_li_nth-last-child(1) Character"/>
    <w:basedOn w:val="DefaultParagraphFont"/>
  </w:style>
  <w:style w:type="paragraph" w:customStyle="1" w:styleId="skn-mly7right-boxjob-positiondivParagraph">
    <w:name w:val="skn-mly7_right-box_job-position &gt; div Paragraph"/>
    <w:basedOn w:val="Normal"/>
    <w:pPr>
      <w:textAlignment w:val="top"/>
    </w:pPr>
  </w:style>
  <w:style w:type="character" w:customStyle="1" w:styleId="skn-mly7right-boxeducationjob-details">
    <w:name w:val="skn-mly7_right-box_education_job-details"/>
    <w:basedOn w:val="DefaultParagraphFont"/>
  </w:style>
  <w:style w:type="character" w:customStyle="1" w:styleId="skn-mly7right-boxeducationjob-date">
    <w:name w:val="skn-mly7_right-box_education_job-date"/>
    <w:basedOn w:val="DefaultParagraphFont"/>
  </w:style>
  <w:style w:type="paragraph" w:customStyle="1" w:styleId="skn-mly7top-sectionright-boxeducationparagraphempty-div">
    <w:name w:val="skn-mly7_top-section_right-box_education_paragraphempty-div"/>
    <w:basedOn w:val="Normal"/>
    <w:rPr>
      <w:vanish/>
    </w:rPr>
  </w:style>
  <w:style w:type="paragraph" w:customStyle="1" w:styleId="skn-mly7top-sectionright-boxsectionnth-last-child2">
    <w:name w:val="skn-mly7_top-section_right-box &gt; section_nth-last-child(2)"/>
    <w:basedOn w:val="Normal"/>
  </w:style>
  <w:style w:type="paragraph" w:customStyle="1" w:styleId="skn-mly7foot-pattern">
    <w:name w:val="skn-mly7_foot-pattern"/>
    <w:basedOn w:val="Normal"/>
  </w:style>
  <w:style w:type="character" w:customStyle="1" w:styleId="skn-mly7top-sectionrightboxrightpaddingcell">
    <w:name w:val="skn-mly7_top-section_rightboxrightpaddingcell"/>
    <w:basedOn w:val="DefaultParagraphFont"/>
  </w:style>
  <w:style w:type="table" w:customStyle="1" w:styleId="skn-mly7top-section">
    <w:name w:val="skn-mly7_top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header" Target="header1.xml" /><Relationship Id="rId8" Type="http://schemas.openxmlformats.org/officeDocument/2006/relationships/theme" Target="theme/theme1.xml" /><Relationship Id="rId9" Type="http://schemas.openxmlformats.org/officeDocument/2006/relationships/numbering" Target="numbering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Arindam Chatterjee</dc:title>
  <cp:revision>0</cp:revision>
</cp:coreProperties>
</file>